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5F4" w:rsidRDefault="00100C27" w:rsidP="005E55F4">
      <w:pPr>
        <w:widowControl/>
        <w:shd w:val="clear" w:color="auto" w:fill="FFFFFF"/>
        <w:spacing w:before="100" w:beforeAutospacing="1" w:after="240"/>
        <w:jc w:val="center"/>
        <w:outlineLvl w:val="0"/>
        <w:rPr>
          <w:rFonts w:ascii="黑体" w:eastAsia="黑体" w:hAnsi="黑体" w:cs="Segoe UI" w:hint="eastAsia"/>
          <w:bCs/>
          <w:color w:val="0F1115"/>
          <w:kern w:val="36"/>
          <w:sz w:val="36"/>
          <w:szCs w:val="36"/>
        </w:rPr>
      </w:pPr>
      <w:r w:rsidRPr="005E55F4">
        <w:rPr>
          <w:rFonts w:ascii="黑体" w:eastAsia="黑体" w:hAnsi="黑体" w:cs="Segoe UI"/>
          <w:bCs/>
          <w:color w:val="0F1115"/>
          <w:kern w:val="36"/>
          <w:sz w:val="36"/>
          <w:szCs w:val="36"/>
        </w:rPr>
        <w:t>《行星齿轮箱端面动密封用橡胶密封盖》</w:t>
      </w:r>
    </w:p>
    <w:p w:rsidR="00100C27" w:rsidRPr="005E55F4" w:rsidRDefault="00100C27" w:rsidP="005E55F4">
      <w:pPr>
        <w:widowControl/>
        <w:shd w:val="clear" w:color="auto" w:fill="FFFFFF"/>
        <w:spacing w:before="100" w:beforeAutospacing="1" w:after="240"/>
        <w:jc w:val="center"/>
        <w:outlineLvl w:val="0"/>
        <w:rPr>
          <w:rFonts w:ascii="黑体" w:eastAsia="黑体" w:hAnsi="黑体" w:cs="Segoe UI"/>
          <w:bCs/>
          <w:color w:val="0F1115"/>
          <w:kern w:val="36"/>
          <w:sz w:val="36"/>
          <w:szCs w:val="36"/>
        </w:rPr>
      </w:pPr>
      <w:r w:rsidRPr="005E55F4">
        <w:rPr>
          <w:rFonts w:ascii="黑体" w:eastAsia="黑体" w:hAnsi="黑体" w:cs="Segoe UI"/>
          <w:bCs/>
          <w:color w:val="0F1115"/>
          <w:kern w:val="36"/>
          <w:sz w:val="36"/>
          <w:szCs w:val="36"/>
        </w:rPr>
        <w:t>团体标准编制说明（征求意见稿）</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一、工作简况</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1.1 任务来源</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行星齿轮箱端面动密封用橡胶密封盖是高端装备密封核心零件，其密封可靠性直接影响产品使用寿命。当前我国行星齿轮箱行业快速发展，所应用领域对密封性能要求持续提升，但国内尚无此类橡胶密封盖的国家标准、行业标准或统一的团体标准。众多企业多采用自定标准生产，导致产品质量不均、规格混乱，易出现密封失效等问题，制约了行业规范化发展，也无法满足高端装备的可靠性需求。</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为规范行星齿轮箱端面动密封用橡胶密封盖质量，统一技术与检验要求，银川威力传动技术股份有限公司向宁夏机械工程学会提出团体标准立项申请。根据宁夏机械工程学会2026年第一批团体标准立项批复计划（</w:t>
      </w:r>
      <w:proofErr w:type="gramStart"/>
      <w:r w:rsidRPr="005E55F4">
        <w:rPr>
          <w:rFonts w:ascii="宋体" w:eastAsia="宋体" w:hAnsi="宋体"/>
          <w:sz w:val="28"/>
          <w:szCs w:val="28"/>
        </w:rPr>
        <w:t>宁机学字</w:t>
      </w:r>
      <w:proofErr w:type="gramEnd"/>
      <w:r w:rsidRPr="005E55F4">
        <w:rPr>
          <w:rFonts w:ascii="宋体" w:eastAsia="宋体" w:hAnsi="宋体"/>
          <w:sz w:val="28"/>
          <w:szCs w:val="28"/>
        </w:rPr>
        <w:t>（2026）7号），《行星齿轮箱端面动密封用橡胶密封盖》</w:t>
      </w:r>
      <w:proofErr w:type="gramStart"/>
      <w:r w:rsidRPr="005E55F4">
        <w:rPr>
          <w:rFonts w:ascii="宋体" w:eastAsia="宋体" w:hAnsi="宋体"/>
          <w:sz w:val="28"/>
          <w:szCs w:val="28"/>
        </w:rPr>
        <w:t>标准获</w:t>
      </w:r>
      <w:proofErr w:type="gramEnd"/>
      <w:r w:rsidRPr="005E55F4">
        <w:rPr>
          <w:rFonts w:ascii="宋体" w:eastAsia="宋体" w:hAnsi="宋体"/>
          <w:sz w:val="28"/>
          <w:szCs w:val="28"/>
        </w:rPr>
        <w:t>批立项，列入宁夏机械工程学会2026年第一批团体标准制定项目计划。</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本文件由银川威力传动技术股份有限公司提出，由宁夏机械工程学会归口。</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1.2 主要工作过程</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起草（草案、论证）阶段： 项目任务下达后，由银川威力传动技术股份有限公司牵头，召集参编单位相关人员成立标准编制工作组。</w:t>
      </w:r>
      <w:r w:rsidRPr="005E55F4">
        <w:rPr>
          <w:rFonts w:ascii="宋体" w:eastAsia="宋体" w:hAnsi="宋体"/>
          <w:sz w:val="28"/>
          <w:szCs w:val="28"/>
        </w:rPr>
        <w:lastRenderedPageBreak/>
        <w:t>工作组在广泛调研国内外行星齿轮箱端面动密封用橡胶密封盖的生产和使用情况基础上，搜集相关国家标准、行业标准及技术资料，结合现有实际应用经验和试验验证数据，确定了标准的制定原则和技术指标体系。经工作组多次内部研讨和专家咨询，对标准内容进行了逐条审议，重点明确了密封盖的结构型式、基本参数、材料性能、技术要求及检验规则等内容，形成标准草案。</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2026年5月，工作组召开讨论会，对标准草案进行了逐条审议，完善了密封</w:t>
      </w:r>
      <w:proofErr w:type="gramStart"/>
      <w:r w:rsidRPr="005E55F4">
        <w:rPr>
          <w:rFonts w:ascii="宋体" w:eastAsia="宋体" w:hAnsi="宋体"/>
          <w:sz w:val="28"/>
          <w:szCs w:val="28"/>
        </w:rPr>
        <w:t>盖基本</w:t>
      </w:r>
      <w:proofErr w:type="gramEnd"/>
      <w:r w:rsidRPr="005E55F4">
        <w:rPr>
          <w:rFonts w:ascii="宋体" w:eastAsia="宋体" w:hAnsi="宋体"/>
          <w:sz w:val="28"/>
          <w:szCs w:val="28"/>
        </w:rPr>
        <w:t>参数表，明确了金属骨架材料选用要求（奥氏体不锈钢304、201及碳素钢65Mn），确认了橡胶材料技术指标及粘接工艺参数，补充了检验规则和抽样方案。经工作组及业内专家多次研讨，编制出《行星齿轮箱端面动密封用橡胶密封盖》征求意见稿。</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1.3 主要参加单位和工作组成员及其所做的工作</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本标准起草单位：银川威力传动技术股份有限公司、</w:t>
      </w:r>
      <w:proofErr w:type="gramStart"/>
      <w:r w:rsidRPr="005E55F4">
        <w:rPr>
          <w:rFonts w:ascii="宋体" w:eastAsia="宋体" w:hAnsi="宋体"/>
          <w:sz w:val="28"/>
          <w:szCs w:val="28"/>
        </w:rPr>
        <w:t>沧州威润五金</w:t>
      </w:r>
      <w:proofErr w:type="gramEnd"/>
      <w:r w:rsidRPr="005E55F4">
        <w:rPr>
          <w:rFonts w:ascii="宋体" w:eastAsia="宋体" w:hAnsi="宋体"/>
          <w:sz w:val="28"/>
          <w:szCs w:val="28"/>
        </w:rPr>
        <w:t>制品有限公司、南京超品机电科技有限公司、</w:t>
      </w:r>
      <w:proofErr w:type="gramStart"/>
      <w:r w:rsidRPr="005E55F4">
        <w:rPr>
          <w:rFonts w:ascii="宋体" w:eastAsia="宋体" w:hAnsi="宋体"/>
          <w:sz w:val="28"/>
          <w:szCs w:val="28"/>
        </w:rPr>
        <w:t>常州海</w:t>
      </w:r>
      <w:proofErr w:type="gramEnd"/>
      <w:r w:rsidRPr="005E55F4">
        <w:rPr>
          <w:rFonts w:ascii="宋体" w:eastAsia="宋体" w:hAnsi="宋体"/>
          <w:sz w:val="28"/>
          <w:szCs w:val="28"/>
        </w:rPr>
        <w:t>川卓越密封材料有限公司。</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本标准主要起草人及分工如下：</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张亮、张聪：负责标准编制工作的全面统筹和总体审核，审定标准框架结构和技术方案；</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杨睿、王蓉、李毅：负责密封盖结构设计、基本参数及尺寸公差等技术内容的起草和论证；</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杨瑞新、赵鑫、曹雪磊：负责材料性能、粘接工艺、表面处理等技术要求的编写和验证；</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lastRenderedPageBreak/>
        <w:t>赵二栋、陈汉文、韩浩、季刚： 负责检测方法、检验规则、标志包装等内容的编写及征求意见汇总处理。</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二、标准编制原则</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本标准在制定过程中认真贯彻《宁夏机械工程学会团体标准管理办法》的相关规定，本着合理、科学的原则进行编写制定工作：</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规范性原则： 依据GB/T 1.1—2020《标准化工作导则 第1部分：标准化文件的结构和起草规则》的规定进行编写，确保标准文件结构的规范性和起草规则的统一性。</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协调性原则： 与现行相关法律、法规、规章保持一致，积极采用和引用相关国家标准和行业标准，如GB/T 699《优质碳素结构钢》、GB/T 1220《不锈钢棒》、GB/T 13871系列《密封元件为弹性体材料的旋转轴唇形密封圈》、GB/T 36089《丙烯腈-丁二烯橡胶（NBR）》等，确保标准体系的协调统一。</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科学性与实用性原则： 结合行星齿轮箱端面动密封用橡胶密封盖的实际工况需求，参考国内外相关资料及实践经验，明确核心技术指标。技术指标设定兼顾先进性和可操作性，确保标准在行业内具有广泛适用性和指导意义。</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前瞻性原则： 适应风电偏航、变桨减速器等高可靠性装备对密封盖使用寿命20年以上的严苛要求，合理设定耐久性能和检验要求，推动行业技术升级。</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三、标准主要内容的确定</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3.1 范围</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lastRenderedPageBreak/>
        <w:t>本文件适用范围主要依据行星齿轮箱端面动密封用橡胶密封盖的实际工况条件确定：工作温度范围为-40</w:t>
      </w:r>
      <w:r w:rsidRPr="005E55F4">
        <w:rPr>
          <w:rFonts w:ascii="宋体" w:eastAsia="宋体" w:hAnsi="宋体" w:hint="eastAsia"/>
          <w:sz w:val="28"/>
          <w:szCs w:val="28"/>
        </w:rPr>
        <w:t>℃</w:t>
      </w:r>
      <w:r w:rsidRPr="005E55F4">
        <w:rPr>
          <w:rFonts w:ascii="宋体" w:eastAsia="宋体" w:hAnsi="宋体"/>
          <w:sz w:val="28"/>
          <w:szCs w:val="28"/>
        </w:rPr>
        <w:t>～+50</w:t>
      </w:r>
      <w:r w:rsidRPr="005E55F4">
        <w:rPr>
          <w:rFonts w:ascii="宋体" w:eastAsia="宋体" w:hAnsi="宋体" w:hint="eastAsia"/>
          <w:sz w:val="28"/>
          <w:szCs w:val="28"/>
        </w:rPr>
        <w:t>℃</w:t>
      </w:r>
      <w:r w:rsidRPr="005E55F4">
        <w:rPr>
          <w:rFonts w:ascii="宋体" w:eastAsia="宋体" w:hAnsi="宋体"/>
          <w:sz w:val="28"/>
          <w:szCs w:val="28"/>
        </w:rPr>
        <w:t>（对应风电及通用工业齿轮箱的典型环境温度范围）、旋转动密封转速小于30r/min（行星齿轮箱端面密封的典型低速工况）、脂润滑方式。适用范围与引言中风电偏航、变桨减速器使用寿命20年以上的应用场景相匹配。</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3.2 规范性引用文件</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本标准引用了19项现行有效的国家标准和行业标准，涵盖材料（GB/T 699、GB/T 1220、GB/T 36089）、尺寸与公差（GB/T 1184、GB/T 15055、GB/T 13871.1）、性能测试（GB/T 7759.1、GB/T 7759.2、GB/T 13871.4、GB/T 15254）、清洁度（JB/T 7158）及包装（GB/T 13384）等方面，构建了完整的技术标准体系。</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3.3 术语和定义</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本标准规定了橡胶密封盖、密封唇、骨架、粘接强度、唇口磨损量等5项术语。其中“密封唇”和“骨架”的定义参考了GB/T 13871.2《密封元件为弹性体材料的旋转轴唇形密封圈 第2部分：词汇》，保证了术语体系的继承性和一致性。“唇口磨损量”结合NB/T 11587《风力发电机组 齿轮箱试验规范》的耐久试验要求进行了定义，体现行业特色。</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3.4 型式与基本参数</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结构型式： 密封盖由金属骨架、橡胶弹性体组成。唇口端部倾角设为135°、唇口厚度1.5mm，确保唇口与箱体接触压力均匀。唇口表面进行修边处理，减少摩擦磨损。金属骨架采用激光切割或冲压</w:t>
      </w:r>
      <w:r w:rsidRPr="005E55F4">
        <w:rPr>
          <w:rFonts w:ascii="宋体" w:eastAsia="宋体" w:hAnsi="宋体"/>
          <w:sz w:val="28"/>
          <w:szCs w:val="28"/>
        </w:rPr>
        <w:lastRenderedPageBreak/>
        <w:t>成型工艺制造。结构设计参考了GB/T 30570《金属冷冲压件 结构要素》的规定。</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 xml:space="preserve">型号表示方法： 规定为“Z </w:t>
      </w:r>
      <w:proofErr w:type="spellStart"/>
      <w:r w:rsidRPr="005E55F4">
        <w:rPr>
          <w:rFonts w:ascii="宋体" w:eastAsia="宋体" w:hAnsi="宋体"/>
          <w:sz w:val="28"/>
          <w:szCs w:val="28"/>
        </w:rPr>
        <w:t>φXX</w:t>
      </w:r>
      <w:proofErr w:type="spellEnd"/>
      <w:r w:rsidRPr="005E55F4">
        <w:rPr>
          <w:rFonts w:ascii="宋体" w:eastAsia="宋体" w:hAnsi="宋体"/>
          <w:sz w:val="28"/>
          <w:szCs w:val="28"/>
        </w:rPr>
        <w:t>-</w:t>
      </w:r>
      <w:proofErr w:type="spellStart"/>
      <w:r w:rsidRPr="005E55F4">
        <w:rPr>
          <w:rFonts w:ascii="宋体" w:eastAsia="宋体" w:hAnsi="宋体"/>
          <w:sz w:val="28"/>
          <w:szCs w:val="28"/>
        </w:rPr>
        <w:t>φXX</w:t>
      </w:r>
      <w:proofErr w:type="spellEnd"/>
      <w:r w:rsidRPr="005E55F4">
        <w:rPr>
          <w:rFonts w:ascii="宋体" w:eastAsia="宋体" w:hAnsi="宋体"/>
          <w:sz w:val="28"/>
          <w:szCs w:val="28"/>
        </w:rPr>
        <w:t>-XX XXX”格式，依次表示密封盖型号（Z）、骨架内径、最大外径、总高度及批次号、供应商代号，便于识别和追溯。</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基本参数： 规定了12种规格密封盖的基本尺寸（A～H），涵盖骨架内径120mm～220mm、最大外径195mm～380mm、总高度6mm～6.5mm的范围。金属骨架板厚1.5mm，上下包裹橡胶厚度各0.5mm，橡胶包裹区域总厚度2.5mm。尺寸偏差要求中，骨架内径A的公差为(+0.3,+0.15)，最大外径E的公差为±0.5，其余尺寸公差应符合GB/T 13871.1和GB/T 15055的规定。形位公差应符合GB/T 1184-K级规定。以上参数的确定依据实际产品规格和装配配合要求。</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3.5 技术要求</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材料及力学性能：</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金属骨架可选用奥氏体不锈钢304（牌号：06Cr19Ni10）、奥氏体不锈钢201（牌号：12Cr17Mn6Ni5N）或碳素钢65Mn，其化学成分和力学性能分别符合GB/T 1220和GB/T 699的规定。65Mn热处理供应状态洛氏硬度为45～55HRC。</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橡胶拉伸强度不低于8MPa，技术指标符合GB/T 36089的规定；硫化特性符合GB/T 1232.2的规定。</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粘接剂采用橡胶-金属专用粘接剂，无毒性、无刺激性，符合环保要求。</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lastRenderedPageBreak/>
        <w:t>粘接工艺： 涂刷厚度0.05～0.10mm，80～100</w:t>
      </w:r>
      <w:r w:rsidRPr="005E55F4">
        <w:rPr>
          <w:rFonts w:ascii="宋体" w:eastAsia="宋体" w:hAnsi="宋体" w:hint="eastAsia"/>
          <w:sz w:val="28"/>
          <w:szCs w:val="28"/>
        </w:rPr>
        <w:t>℃</w:t>
      </w:r>
      <w:r w:rsidRPr="005E55F4">
        <w:rPr>
          <w:rFonts w:ascii="宋体" w:eastAsia="宋体" w:hAnsi="宋体"/>
          <w:sz w:val="28"/>
          <w:szCs w:val="28"/>
        </w:rPr>
        <w:t>条件下烘干15～20分钟，硫化温度150～160</w:t>
      </w:r>
      <w:r w:rsidRPr="005E55F4">
        <w:rPr>
          <w:rFonts w:ascii="宋体" w:eastAsia="宋体" w:hAnsi="宋体" w:hint="eastAsia"/>
          <w:sz w:val="28"/>
          <w:szCs w:val="28"/>
        </w:rPr>
        <w:t>℃</w:t>
      </w:r>
      <w:r w:rsidRPr="005E55F4">
        <w:rPr>
          <w:rFonts w:ascii="宋体" w:eastAsia="宋体" w:hAnsi="宋体"/>
          <w:sz w:val="28"/>
          <w:szCs w:val="28"/>
        </w:rPr>
        <w:t>，硫化时间15～20分钟。上述参数的确定依据实际生产验证和粘接强度试验结果。</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表面处理： 65Mn材质骨架需进行喷漆处理，油漆干膜厚度≤50μm。毛刺允许高度应符合GB/T 33217的规定。</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外观要求： 橡胶表面气泡直径≤2mm且高度≤0.3mm，数量≤5个，无裂纹、缺胶、</w:t>
      </w:r>
      <w:proofErr w:type="gramStart"/>
      <w:r w:rsidRPr="005E55F4">
        <w:rPr>
          <w:rFonts w:ascii="宋体" w:eastAsia="宋体" w:hAnsi="宋体"/>
          <w:sz w:val="28"/>
          <w:szCs w:val="28"/>
        </w:rPr>
        <w:t>断胶等</w:t>
      </w:r>
      <w:proofErr w:type="gramEnd"/>
      <w:r w:rsidRPr="005E55F4">
        <w:rPr>
          <w:rFonts w:ascii="宋体" w:eastAsia="宋体" w:hAnsi="宋体"/>
          <w:sz w:val="28"/>
          <w:szCs w:val="28"/>
        </w:rPr>
        <w:t>缺陷。各表面粗糙度规定为Ra12.5。</w:t>
      </w:r>
    </w:p>
    <w:p w:rsidR="00100C27" w:rsidRPr="005E55F4" w:rsidRDefault="00100C27" w:rsidP="005E55F4">
      <w:pPr>
        <w:rPr>
          <w:rFonts w:ascii="宋体" w:eastAsia="宋体" w:hAnsi="宋体"/>
          <w:sz w:val="28"/>
          <w:szCs w:val="28"/>
        </w:rPr>
      </w:pPr>
      <w:r w:rsidRPr="005E55F4">
        <w:rPr>
          <w:rFonts w:ascii="宋体" w:eastAsia="宋体" w:hAnsi="宋体"/>
          <w:sz w:val="28"/>
          <w:szCs w:val="28"/>
        </w:rPr>
        <w:t>性能要求：</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粘接性能：按GB/T 15254的规定执行。</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耐久性能：环境温度-40</w:t>
      </w:r>
      <w:r w:rsidRPr="005E55F4">
        <w:rPr>
          <w:rFonts w:ascii="宋体" w:eastAsia="宋体" w:hAnsi="宋体" w:hint="eastAsia"/>
          <w:sz w:val="28"/>
          <w:szCs w:val="28"/>
        </w:rPr>
        <w:t>℃</w:t>
      </w:r>
      <w:r w:rsidRPr="005E55F4">
        <w:rPr>
          <w:rFonts w:ascii="宋体" w:eastAsia="宋体" w:hAnsi="宋体"/>
          <w:sz w:val="28"/>
          <w:szCs w:val="28"/>
        </w:rPr>
        <w:t>～50</w:t>
      </w:r>
      <w:r w:rsidRPr="005E55F4">
        <w:rPr>
          <w:rFonts w:ascii="宋体" w:eastAsia="宋体" w:hAnsi="宋体" w:hint="eastAsia"/>
          <w:sz w:val="28"/>
          <w:szCs w:val="28"/>
        </w:rPr>
        <w:t>℃</w:t>
      </w:r>
      <w:r w:rsidRPr="005E55F4">
        <w:rPr>
          <w:rFonts w:ascii="宋体" w:eastAsia="宋体" w:hAnsi="宋体"/>
          <w:sz w:val="28"/>
          <w:szCs w:val="28"/>
        </w:rPr>
        <w:t>，寿命不低于5年；压缩至3.5mm时橡胶无开裂、损坏。</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清洁度：按产品技术协议规定执行。</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3.6 检测方法与检验规则</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检测方法对应技术要求逐条引用相关国家标准，包括GB/T 10610（粗糙度）、GB/T 15254（粘接测试）、GB/T 7759.1和GB/T 7759.2（压缩测试）、JB/T 7158（清洁度测试）、GB/T 13871.4（寿命测试）等。</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检验分为出厂检验与型式检验，检验项目共8项。出厂检验包括材料、尺寸公差、外观、粗糙度、清洁度5项；型式检验增加粘接性能、压缩性能、寿命可靠性试验3项。抽样方案按GB/T 2828.1 S-1执行，尺寸和外观实行100%检验。型式检验适用于新产品定型、材料重大变更、停产一年以上复产及出厂检验与上次型式检验有较大差</w:t>
      </w:r>
      <w:r w:rsidRPr="005E55F4">
        <w:rPr>
          <w:rFonts w:ascii="宋体" w:eastAsia="宋体" w:hAnsi="宋体"/>
          <w:sz w:val="28"/>
          <w:szCs w:val="28"/>
        </w:rPr>
        <w:lastRenderedPageBreak/>
        <w:t>异等情形。</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3.7 标志、包装、运输和贮存</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标志内容包含供应商代号、密封盖型号和批次号。包装采用防潮、防震材料，密封</w:t>
      </w:r>
      <w:proofErr w:type="gramStart"/>
      <w:r w:rsidRPr="005E55F4">
        <w:rPr>
          <w:rFonts w:ascii="宋体" w:eastAsia="宋体" w:hAnsi="宋体"/>
          <w:sz w:val="28"/>
          <w:szCs w:val="28"/>
        </w:rPr>
        <w:t>盖之间</w:t>
      </w:r>
      <w:proofErr w:type="gramEnd"/>
      <w:r w:rsidRPr="005E55F4">
        <w:rPr>
          <w:rFonts w:ascii="宋体" w:eastAsia="宋体" w:hAnsi="宋体"/>
          <w:sz w:val="28"/>
          <w:szCs w:val="28"/>
        </w:rPr>
        <w:t>用纸张分隔，内附合格证，符合GB/T 13384的规定。运输贮存时注意防水、防潮、防腐蚀，65Mn骨架必要时重新做防锈处理。</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四、主要试验（或验证）情况分析</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本标准制定过程中，各起草单位依据企业标准和实际生产经验对密封盖的关键技术指标进行了验证：</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粘接强度验证： 按照GB/T 15254规定的180°剥离试验方法，对采用本标准的粘接工艺（涂刷厚度0.05～0.10mm，烘干80～100</w:t>
      </w:r>
      <w:r w:rsidRPr="005E55F4">
        <w:rPr>
          <w:rFonts w:ascii="宋体" w:eastAsia="宋体" w:hAnsi="宋体" w:hint="eastAsia"/>
          <w:sz w:val="28"/>
          <w:szCs w:val="28"/>
        </w:rPr>
        <w:t>℃</w:t>
      </w:r>
      <w:r w:rsidRPr="005E55F4">
        <w:rPr>
          <w:rFonts w:ascii="宋体" w:eastAsia="宋体" w:hAnsi="宋体"/>
          <w:sz w:val="28"/>
          <w:szCs w:val="28"/>
        </w:rPr>
        <w:t>×15～20min，硫化150～160</w:t>
      </w:r>
      <w:r w:rsidRPr="005E55F4">
        <w:rPr>
          <w:rFonts w:ascii="宋体" w:eastAsia="宋体" w:hAnsi="宋体" w:hint="eastAsia"/>
          <w:sz w:val="28"/>
          <w:szCs w:val="28"/>
        </w:rPr>
        <w:t>℃</w:t>
      </w:r>
      <w:r w:rsidRPr="005E55F4">
        <w:rPr>
          <w:rFonts w:ascii="宋体" w:eastAsia="宋体" w:hAnsi="宋体"/>
          <w:sz w:val="28"/>
          <w:szCs w:val="28"/>
        </w:rPr>
        <w:t>×15～20min）生产的密封盖进行检测，粘接强度满足标准要求，无脱胶、分层现象。</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压缩性能验证： 按GB/T 7759.1及GB/T 7759.2规定进行压缩永久变形测试，当H压缩至3.5mm时，橡胶无开裂、损坏，密封正常，满足使用要求。</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尺寸精度验证： 采用检验夹具和量具对12种规格密封盖的尺寸偏差进行全检，骨架内径A的公差(+0.3,+0.15)、最大外径E的公差±0.5均能满足设计要求，其余尺寸公差符合GB/T 13871.1和GB/T 15055的规定。</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验证结果表明，本标准规定的技术指标和参数科学合理，具有可操作性和可重复性。</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lastRenderedPageBreak/>
        <w:t>五、标准涉及的相关知识产权说明</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经查询，本标准涉及银川威力传动技术股份有限公司持有的实用新型专利：</w:t>
      </w:r>
      <w:proofErr w:type="gramStart"/>
      <w:r w:rsidRPr="005E55F4">
        <w:rPr>
          <w:rFonts w:ascii="宋体" w:eastAsia="宋体" w:hAnsi="宋体"/>
          <w:sz w:val="28"/>
          <w:szCs w:val="28"/>
        </w:rPr>
        <w:t>偏航变桨</w:t>
      </w:r>
      <w:proofErr w:type="gramEnd"/>
      <w:r w:rsidRPr="005E55F4">
        <w:rPr>
          <w:rFonts w:ascii="宋体" w:eastAsia="宋体" w:hAnsi="宋体"/>
          <w:sz w:val="28"/>
          <w:szCs w:val="28"/>
        </w:rPr>
        <w:t>减速器的输出端密封结构（专利号：2023222573310）。标准内容中关于密封盖结构型式、唇</w:t>
      </w:r>
      <w:proofErr w:type="gramStart"/>
      <w:r w:rsidRPr="005E55F4">
        <w:rPr>
          <w:rFonts w:ascii="宋体" w:eastAsia="宋体" w:hAnsi="宋体"/>
          <w:sz w:val="28"/>
          <w:szCs w:val="28"/>
        </w:rPr>
        <w:t>口设计</w:t>
      </w:r>
      <w:proofErr w:type="gramEnd"/>
      <w:r w:rsidRPr="005E55F4">
        <w:rPr>
          <w:rFonts w:ascii="宋体" w:eastAsia="宋体" w:hAnsi="宋体"/>
          <w:sz w:val="28"/>
          <w:szCs w:val="28"/>
        </w:rPr>
        <w:t>等技术要求与该专利相关。</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按照《宁夏机械工程学会团体标准管理办法》及GB/T 20003.1《标准制定的特殊程序 第1部分：涉及专利的标准》的规定，专利持有人已承诺愿意在公平、合理、无歧视（FRAND）原则下，与标准实施者进行专利许可谈判。本标准文本中已对此专利信息进行了标注说明。</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六、采用国际标准和国外先进标准的程度</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本标准在制定过程中参考了ISO 6194（旋转轴唇形密封圈）系列国际标准对应的国家标准GB/T 13871系列。在术语定义、尺寸公差、性能试验方法等方面与国际标准保持协调。在密封盖结构型式、唇口设计、粘接工艺等技术内容方面，结合国内行星齿轮箱端面动密封的实际工况和制造水平进行了补充和细化。</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本标准未直接采用国外先进标准，但在技术指标设定上参考了国际通行做法，确保标准水平与国外同类产品技术水平相当。</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七、与国内相关标准的关系</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本标准与现行相关法律、法规、规章及相关标准保持协调一致：</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材料标准： 引用GB/T 699、GB/T 1220，与钢铁材料标准体系衔接。</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lastRenderedPageBreak/>
        <w:t>密封元件标准： 引用GB/T 13871.1、GB/T 13871.2、GB/T 13871.4，与旋转轴唇形密封圈标准体系协调。</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橡胶性能测试标准： 引用GB/T 7759.1、GB/T 7759.2、GB/T 15254、GB/T 1232.2、GB/T 36089，与橡胶材料及制品标准体系对接。</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机械基础标准： 引用GB/T 1184、GB/T 15055、GB/T 30570、GB/T 33217、GB/T 10610，与机械基础标准体系一致。</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清洁度标准： 引用JB/T 7158，与工程机械行业清洁度测定方法统一。</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风力发电标准： 引用NB/T 11587，与风电齿轮</w:t>
      </w:r>
      <w:proofErr w:type="gramStart"/>
      <w:r w:rsidRPr="005E55F4">
        <w:rPr>
          <w:rFonts w:ascii="宋体" w:eastAsia="宋体" w:hAnsi="宋体"/>
          <w:sz w:val="28"/>
          <w:szCs w:val="28"/>
        </w:rPr>
        <w:t>箱试验</w:t>
      </w:r>
      <w:proofErr w:type="gramEnd"/>
      <w:r w:rsidRPr="005E55F4">
        <w:rPr>
          <w:rFonts w:ascii="宋体" w:eastAsia="宋体" w:hAnsi="宋体"/>
          <w:sz w:val="28"/>
          <w:szCs w:val="28"/>
        </w:rPr>
        <w:t>规范衔接。</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本标准作为团体标准，填补了国内行星齿轮箱端面动密封用橡胶密封盖标准的空白，与国家、行业标准形成互补。</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八、重大分歧意见的处理经过和依据</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本标准编制过程中，编制工作组内部进行了充分研讨和沟通，对标准的技术内容进行了逐条审议。关于金属骨架材料选用、尺寸公差设定、检验抽样方案等关键技术问题，经工作组讨论达成一致意见。征求意见阶段未收到重大分歧意见。</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九、其他应予说明的事项</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9.1 标准性质的建议说明</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建议本标准作为团体标准发布实施，供宁夏机械工程学会会员单位及相关企业自愿采用。</w:t>
      </w:r>
    </w:p>
    <w:p w:rsidR="00100C27" w:rsidRPr="005E55F4" w:rsidRDefault="00100C27" w:rsidP="005E55F4">
      <w:pPr>
        <w:rPr>
          <w:rFonts w:ascii="黑体" w:eastAsia="黑体" w:hAnsi="黑体"/>
          <w:sz w:val="28"/>
          <w:szCs w:val="28"/>
        </w:rPr>
      </w:pPr>
      <w:r w:rsidRPr="005E55F4">
        <w:rPr>
          <w:rFonts w:ascii="黑体" w:eastAsia="黑体" w:hAnsi="黑体"/>
          <w:sz w:val="28"/>
          <w:szCs w:val="28"/>
        </w:rPr>
        <w:t>9.2 实施标准的要求和措施建议</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lastRenderedPageBreak/>
        <w:t>建议标准发布后，由宁夏机械工程学会组织标准宣贯培训，推动标准在行星齿轮箱端面动密封用橡胶密封盖的生产、检验和应用中有效实施。</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建议各起草单位按照标准要求完善生产工艺和检测手段，确保产品符合标准规定。</w:t>
      </w:r>
    </w:p>
    <w:p w:rsidR="00100C27" w:rsidRPr="005E55F4" w:rsidRDefault="00100C27" w:rsidP="005E55F4">
      <w:pPr>
        <w:ind w:firstLineChars="200" w:firstLine="560"/>
        <w:rPr>
          <w:rFonts w:ascii="宋体" w:eastAsia="宋体" w:hAnsi="宋体"/>
          <w:sz w:val="28"/>
          <w:szCs w:val="28"/>
        </w:rPr>
      </w:pPr>
      <w:r w:rsidRPr="005E55F4">
        <w:rPr>
          <w:rFonts w:ascii="宋体" w:eastAsia="宋体" w:hAnsi="宋体"/>
          <w:sz w:val="28"/>
          <w:szCs w:val="28"/>
        </w:rPr>
        <w:t>建议标准实施一定周期后，收集各方反馈意见，适时开展标准复审和修订工作。</w:t>
      </w:r>
    </w:p>
    <w:p w:rsidR="00100C27" w:rsidRPr="005E55F4" w:rsidRDefault="00100C27" w:rsidP="005E55F4">
      <w:pPr>
        <w:rPr>
          <w:rFonts w:ascii="宋体" w:eastAsia="宋体" w:hAnsi="宋体"/>
          <w:sz w:val="28"/>
          <w:szCs w:val="28"/>
        </w:rPr>
      </w:pPr>
    </w:p>
    <w:p w:rsidR="00100C27" w:rsidRPr="005E55F4" w:rsidRDefault="00100C27" w:rsidP="005E55F4">
      <w:pPr>
        <w:jc w:val="right"/>
        <w:rPr>
          <w:rFonts w:ascii="宋体" w:eastAsia="宋体" w:hAnsi="宋体"/>
          <w:sz w:val="28"/>
          <w:szCs w:val="28"/>
        </w:rPr>
      </w:pPr>
      <w:r w:rsidRPr="005E55F4">
        <w:rPr>
          <w:rFonts w:ascii="宋体" w:eastAsia="宋体" w:hAnsi="宋体"/>
          <w:sz w:val="28"/>
          <w:szCs w:val="28"/>
        </w:rPr>
        <w:t>《行星齿轮箱端面动密封用橡胶密封盖》团体标准编制工作组</w:t>
      </w:r>
    </w:p>
    <w:p w:rsidR="00100C27" w:rsidRPr="005E55F4" w:rsidRDefault="00100C27" w:rsidP="005E55F4">
      <w:pPr>
        <w:jc w:val="right"/>
        <w:rPr>
          <w:rFonts w:ascii="宋体" w:eastAsia="宋体" w:hAnsi="宋体"/>
          <w:sz w:val="28"/>
          <w:szCs w:val="28"/>
        </w:rPr>
      </w:pPr>
      <w:r w:rsidRPr="005E55F4">
        <w:rPr>
          <w:rFonts w:ascii="宋体" w:eastAsia="宋体" w:hAnsi="宋体"/>
          <w:sz w:val="28"/>
          <w:szCs w:val="28"/>
        </w:rPr>
        <w:t>2026年8月</w:t>
      </w:r>
    </w:p>
    <w:p w:rsidR="003D5660" w:rsidRDefault="003D5660"/>
    <w:sectPr w:rsidR="003D5660" w:rsidSect="003D56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EF0" w:rsidRDefault="005B6EF0" w:rsidP="00100C27">
      <w:r>
        <w:separator/>
      </w:r>
    </w:p>
  </w:endnote>
  <w:endnote w:type="continuationSeparator" w:id="0">
    <w:p w:rsidR="005B6EF0" w:rsidRDefault="005B6EF0" w:rsidP="00100C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EF0" w:rsidRDefault="005B6EF0" w:rsidP="00100C27">
      <w:r>
        <w:separator/>
      </w:r>
    </w:p>
  </w:footnote>
  <w:footnote w:type="continuationSeparator" w:id="0">
    <w:p w:rsidR="005B6EF0" w:rsidRDefault="005B6EF0" w:rsidP="00100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70C73"/>
    <w:multiLevelType w:val="multilevel"/>
    <w:tmpl w:val="90FA5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900AF1"/>
    <w:multiLevelType w:val="multilevel"/>
    <w:tmpl w:val="F2904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075F47"/>
    <w:multiLevelType w:val="multilevel"/>
    <w:tmpl w:val="C79EA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2A5D3A"/>
    <w:multiLevelType w:val="multilevel"/>
    <w:tmpl w:val="7094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782250"/>
    <w:multiLevelType w:val="multilevel"/>
    <w:tmpl w:val="FE34A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7A11155"/>
    <w:multiLevelType w:val="multilevel"/>
    <w:tmpl w:val="36ACE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1F5D80"/>
    <w:multiLevelType w:val="multilevel"/>
    <w:tmpl w:val="8C46C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0C27"/>
    <w:rsid w:val="00021183"/>
    <w:rsid w:val="00100C27"/>
    <w:rsid w:val="003D5660"/>
    <w:rsid w:val="005B6EF0"/>
    <w:rsid w:val="005E55F4"/>
    <w:rsid w:val="00DF4E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660"/>
    <w:pPr>
      <w:widowControl w:val="0"/>
      <w:jc w:val="both"/>
    </w:pPr>
  </w:style>
  <w:style w:type="paragraph" w:styleId="1">
    <w:name w:val="heading 1"/>
    <w:basedOn w:val="a"/>
    <w:link w:val="1Char"/>
    <w:uiPriority w:val="9"/>
    <w:qFormat/>
    <w:rsid w:val="00100C2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100C27"/>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100C2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0C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0C27"/>
    <w:rPr>
      <w:sz w:val="18"/>
      <w:szCs w:val="18"/>
    </w:rPr>
  </w:style>
  <w:style w:type="paragraph" w:styleId="a4">
    <w:name w:val="footer"/>
    <w:basedOn w:val="a"/>
    <w:link w:val="Char0"/>
    <w:uiPriority w:val="99"/>
    <w:semiHidden/>
    <w:unhideWhenUsed/>
    <w:rsid w:val="00100C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0C27"/>
    <w:rPr>
      <w:sz w:val="18"/>
      <w:szCs w:val="18"/>
    </w:rPr>
  </w:style>
  <w:style w:type="character" w:customStyle="1" w:styleId="1Char">
    <w:name w:val="标题 1 Char"/>
    <w:basedOn w:val="a0"/>
    <w:link w:val="1"/>
    <w:uiPriority w:val="9"/>
    <w:rsid w:val="00100C27"/>
    <w:rPr>
      <w:rFonts w:ascii="宋体" w:eastAsia="宋体" w:hAnsi="宋体" w:cs="宋体"/>
      <w:b/>
      <w:bCs/>
      <w:kern w:val="36"/>
      <w:sz w:val="48"/>
      <w:szCs w:val="48"/>
    </w:rPr>
  </w:style>
  <w:style w:type="character" w:customStyle="1" w:styleId="2Char">
    <w:name w:val="标题 2 Char"/>
    <w:basedOn w:val="a0"/>
    <w:link w:val="2"/>
    <w:uiPriority w:val="9"/>
    <w:rsid w:val="00100C27"/>
    <w:rPr>
      <w:rFonts w:ascii="宋体" w:eastAsia="宋体" w:hAnsi="宋体" w:cs="宋体"/>
      <w:b/>
      <w:bCs/>
      <w:kern w:val="0"/>
      <w:sz w:val="36"/>
      <w:szCs w:val="36"/>
    </w:rPr>
  </w:style>
  <w:style w:type="character" w:customStyle="1" w:styleId="3Char">
    <w:name w:val="标题 3 Char"/>
    <w:basedOn w:val="a0"/>
    <w:link w:val="3"/>
    <w:uiPriority w:val="9"/>
    <w:rsid w:val="00100C27"/>
    <w:rPr>
      <w:rFonts w:ascii="宋体" w:eastAsia="宋体" w:hAnsi="宋体" w:cs="宋体"/>
      <w:b/>
      <w:bCs/>
      <w:kern w:val="0"/>
      <w:sz w:val="27"/>
      <w:szCs w:val="27"/>
    </w:rPr>
  </w:style>
  <w:style w:type="paragraph" w:customStyle="1" w:styleId="ds-markdown-paragraph">
    <w:name w:val="ds-markdown-paragraph"/>
    <w:basedOn w:val="a"/>
    <w:rsid w:val="00100C27"/>
    <w:pPr>
      <w:widowControl/>
      <w:spacing w:before="100" w:beforeAutospacing="1" w:after="100" w:afterAutospacing="1"/>
      <w:jc w:val="left"/>
    </w:pPr>
    <w:rPr>
      <w:rFonts w:ascii="宋体" w:eastAsia="宋体" w:hAnsi="宋体" w:cs="宋体"/>
      <w:kern w:val="0"/>
      <w:sz w:val="24"/>
      <w:szCs w:val="24"/>
    </w:rPr>
  </w:style>
  <w:style w:type="character" w:customStyle="1" w:styleId="ds-markdown-cite">
    <w:name w:val="ds-markdown-cite"/>
    <w:basedOn w:val="a0"/>
    <w:rsid w:val="00100C27"/>
  </w:style>
  <w:style w:type="character" w:styleId="a5">
    <w:name w:val="Strong"/>
    <w:basedOn w:val="a0"/>
    <w:uiPriority w:val="22"/>
    <w:qFormat/>
    <w:rsid w:val="00100C27"/>
    <w:rPr>
      <w:b/>
      <w:bCs/>
    </w:rPr>
  </w:style>
  <w:style w:type="paragraph" w:styleId="a6">
    <w:name w:val="No Spacing"/>
    <w:uiPriority w:val="1"/>
    <w:qFormat/>
    <w:rsid w:val="005E55F4"/>
    <w:pPr>
      <w:widowControl w:val="0"/>
      <w:jc w:val="both"/>
    </w:pPr>
  </w:style>
  <w:style w:type="character" w:styleId="a7">
    <w:name w:val="Hyperlink"/>
    <w:basedOn w:val="a0"/>
    <w:uiPriority w:val="99"/>
    <w:unhideWhenUsed/>
    <w:rsid w:val="005E55F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320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2336</Words>
  <Characters>2921</Characters>
  <Application>Microsoft Office Word</Application>
  <DocSecurity>0</DocSecurity>
  <Lines>486</Lines>
  <Paragraphs>438</Paragraphs>
  <ScaleCrop>false</ScaleCrop>
  <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12345</cp:lastModifiedBy>
  <cp:revision>3</cp:revision>
  <dcterms:created xsi:type="dcterms:W3CDTF">2026-09-01T01:49:00Z</dcterms:created>
  <dcterms:modified xsi:type="dcterms:W3CDTF">2026-09-01T02:12:00Z</dcterms:modified>
</cp:coreProperties>
</file>