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D27FF">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煤矿顺槽用破碎机刀齿堆焊工艺规范</w:t>
      </w:r>
    </w:p>
    <w:p w14:paraId="0CEF7BD3">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编写说明</w:t>
      </w:r>
    </w:p>
    <w:p w14:paraId="22CF990A">
      <w:pPr>
        <w:spacing w:line="360" w:lineRule="auto"/>
        <w:ind w:firstLine="643" w:firstLineChars="200"/>
        <w:rPr>
          <w:rFonts w:hint="eastAsia" w:ascii="仿宋" w:hAnsi="仿宋" w:eastAsia="仿宋"/>
          <w:b/>
          <w:bCs/>
          <w:sz w:val="32"/>
          <w:szCs w:val="32"/>
        </w:rPr>
      </w:pPr>
      <w:r>
        <w:rPr>
          <w:rFonts w:hint="eastAsia" w:ascii="仿宋" w:hAnsi="仿宋" w:eastAsia="仿宋"/>
          <w:b/>
          <w:bCs/>
          <w:sz w:val="32"/>
          <w:szCs w:val="32"/>
        </w:rPr>
        <w:t>一、工作简况</w:t>
      </w:r>
    </w:p>
    <w:p w14:paraId="69D7A849">
      <w:pPr>
        <w:spacing w:line="360" w:lineRule="auto"/>
        <w:ind w:firstLine="643" w:firstLineChars="200"/>
        <w:rPr>
          <w:rFonts w:hint="eastAsia" w:ascii="仿宋" w:hAnsi="仿宋" w:eastAsia="仿宋"/>
          <w:b/>
          <w:bCs/>
          <w:sz w:val="32"/>
          <w:szCs w:val="32"/>
        </w:rPr>
      </w:pPr>
      <w:r>
        <w:rPr>
          <w:rFonts w:hint="eastAsia" w:ascii="仿宋" w:hAnsi="仿宋" w:eastAsia="仿宋"/>
          <w:b/>
          <w:bCs/>
          <w:sz w:val="32"/>
          <w:szCs w:val="32"/>
          <w:lang w:val="en-US" w:eastAsia="zh-CN"/>
        </w:rPr>
        <w:t>1.</w:t>
      </w:r>
      <w:r>
        <w:rPr>
          <w:rFonts w:hint="eastAsia" w:ascii="仿宋" w:hAnsi="仿宋" w:eastAsia="仿宋"/>
          <w:b/>
          <w:bCs/>
          <w:sz w:val="32"/>
          <w:szCs w:val="32"/>
        </w:rPr>
        <w:t>任务来源</w:t>
      </w:r>
    </w:p>
    <w:p w14:paraId="3754CA96">
      <w:pPr>
        <w:spacing w:line="360" w:lineRule="auto"/>
        <w:ind w:firstLine="640" w:firstLineChars="200"/>
        <w:rPr>
          <w:rFonts w:hint="eastAsia" w:ascii="仿宋" w:hAnsi="仿宋" w:eastAsia="仿宋"/>
          <w:sz w:val="32"/>
          <w:szCs w:val="32"/>
        </w:rPr>
      </w:pPr>
      <w:r>
        <w:rPr>
          <w:rFonts w:hint="eastAsia" w:ascii="仿宋" w:hAnsi="仿宋" w:eastAsia="仿宋"/>
          <w:sz w:val="32"/>
          <w:szCs w:val="32"/>
          <w:lang w:eastAsia="zh-CN"/>
        </w:rPr>
        <w:t>本文件</w:t>
      </w:r>
      <w:r>
        <w:rPr>
          <w:rFonts w:hint="eastAsia" w:ascii="仿宋" w:hAnsi="仿宋" w:eastAsia="仿宋"/>
          <w:sz w:val="32"/>
          <w:szCs w:val="32"/>
        </w:rPr>
        <w:t>由宁夏天地奔牛实业集团有限公司提出，经宁夏机械工程学会批准立项，列入2026年度团体标准制定计划，项目名称</w:t>
      </w:r>
      <w:r>
        <w:rPr>
          <w:rFonts w:hint="eastAsia" w:ascii="仿宋" w:hAnsi="仿宋" w:eastAsia="仿宋"/>
          <w:sz w:val="32"/>
          <w:szCs w:val="32"/>
          <w:lang w:val="en-US" w:eastAsia="zh-CN"/>
        </w:rPr>
        <w:t>:</w:t>
      </w:r>
      <w:r>
        <w:rPr>
          <w:rFonts w:hint="eastAsia" w:ascii="仿宋" w:hAnsi="仿宋" w:eastAsia="仿宋"/>
          <w:sz w:val="32"/>
          <w:szCs w:val="32"/>
        </w:rPr>
        <w:t>《煤矿顺槽用破碎机刀齿堆焊工艺规范》。</w:t>
      </w:r>
    </w:p>
    <w:p w14:paraId="1DB1DE36">
      <w:pPr>
        <w:spacing w:line="360" w:lineRule="auto"/>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2.协作单位</w:t>
      </w:r>
    </w:p>
    <w:p w14:paraId="36758C9A">
      <w:pPr>
        <w:spacing w:line="360" w:lineRule="auto"/>
        <w:ind w:firstLine="640" w:firstLineChars="200"/>
        <w:rPr>
          <w:rFonts w:hint="eastAsia" w:ascii="仿宋" w:hAnsi="仿宋" w:eastAsia="仿宋" w:cs="Times New Roman"/>
          <w:sz w:val="32"/>
          <w:szCs w:val="32"/>
        </w:rPr>
      </w:pPr>
      <w:r>
        <w:rPr>
          <w:rFonts w:hint="eastAsia" w:ascii="仿宋" w:hAnsi="仿宋" w:eastAsia="仿宋" w:cs="Times New Roman"/>
          <w:sz w:val="32"/>
          <w:szCs w:val="32"/>
        </w:rPr>
        <w:t>宁夏天地奔牛链条有限公司、天地宁夏支护装备有限公司、宁夏特鑫焊接热喷涂有限公司。</w:t>
      </w:r>
    </w:p>
    <w:p w14:paraId="2F23F1E1">
      <w:pPr>
        <w:spacing w:line="360" w:lineRule="auto"/>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3.主要工作过程</w:t>
      </w:r>
    </w:p>
    <w:p w14:paraId="20B0D27A">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2026年1月～2月：调研煤矿顺槽破碎机刀齿使用、堆焊工艺现状，收集现场数据与问题。</w:t>
      </w:r>
    </w:p>
    <w:p w14:paraId="4A1CE4CB">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2026年2月～3月：组建起草组，确定标准框架、核心技术指标与检验要求。</w:t>
      </w:r>
    </w:p>
    <w:p w14:paraId="1722FB09">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2026年3月～</w:t>
      </w:r>
      <w:r>
        <w:rPr>
          <w:rFonts w:hint="eastAsia" w:ascii="仿宋" w:hAnsi="仿宋" w:eastAsia="仿宋"/>
          <w:sz w:val="32"/>
          <w:szCs w:val="32"/>
          <w:lang w:val="en-US" w:eastAsia="zh-CN"/>
        </w:rPr>
        <w:t>6</w:t>
      </w:r>
      <w:r>
        <w:rPr>
          <w:rFonts w:hint="eastAsia" w:ascii="仿宋" w:hAnsi="仿宋" w:eastAsia="仿宋"/>
          <w:sz w:val="32"/>
          <w:szCs w:val="32"/>
        </w:rPr>
        <w:t>月：完成草案编制，开展内部评审与试验验证。</w:t>
      </w:r>
    </w:p>
    <w:p w14:paraId="3F38FA52">
      <w:pPr>
        <w:spacing w:line="360" w:lineRule="auto"/>
        <w:ind w:firstLine="640" w:firstLineChars="200"/>
        <w:rPr>
          <w:rFonts w:hint="eastAsia" w:ascii="仿宋" w:hAnsi="仿宋" w:eastAsia="仿宋"/>
          <w:sz w:val="32"/>
          <w:szCs w:val="32"/>
        </w:rPr>
      </w:pPr>
      <w:r>
        <w:rPr>
          <w:rFonts w:hint="eastAsia" w:ascii="仿宋" w:hAnsi="仿宋" w:eastAsia="仿宋"/>
          <w:sz w:val="32"/>
          <w:szCs w:val="32"/>
        </w:rPr>
        <w:t>2026年</w:t>
      </w:r>
      <w:r>
        <w:rPr>
          <w:rFonts w:hint="eastAsia" w:ascii="仿宋" w:hAnsi="仿宋" w:eastAsia="仿宋"/>
          <w:sz w:val="32"/>
          <w:szCs w:val="32"/>
          <w:lang w:val="en-US" w:eastAsia="zh-CN"/>
        </w:rPr>
        <w:t>7</w:t>
      </w:r>
      <w:r>
        <w:rPr>
          <w:rFonts w:hint="eastAsia" w:ascii="仿宋" w:hAnsi="仿宋" w:eastAsia="仿宋"/>
          <w:sz w:val="32"/>
          <w:szCs w:val="32"/>
        </w:rPr>
        <w:t>月～</w:t>
      </w:r>
      <w:r>
        <w:rPr>
          <w:rFonts w:hint="eastAsia" w:ascii="仿宋" w:hAnsi="仿宋" w:eastAsia="仿宋"/>
          <w:sz w:val="32"/>
          <w:szCs w:val="32"/>
          <w:lang w:val="en-US" w:eastAsia="zh-CN"/>
        </w:rPr>
        <w:t>8</w:t>
      </w:r>
      <w:r>
        <w:rPr>
          <w:rFonts w:hint="eastAsia" w:ascii="仿宋" w:hAnsi="仿宋" w:eastAsia="仿宋"/>
          <w:sz w:val="32"/>
          <w:szCs w:val="32"/>
        </w:rPr>
        <w:t>月：征求行业企业、科研单位意见，修改完善形成讨论稿。</w:t>
      </w:r>
    </w:p>
    <w:p w14:paraId="17F394B1">
      <w:pPr>
        <w:spacing w:line="360" w:lineRule="auto"/>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4.起草组成员及工作</w:t>
      </w:r>
    </w:p>
    <w:p w14:paraId="67AB41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eastAsia" w:ascii="仿宋" w:hAnsi="仿宋" w:eastAsia="仿宋"/>
          <w:sz w:val="32"/>
          <w:szCs w:val="32"/>
        </w:rPr>
        <w:t>组长负责总体统筹与技术审定；成员负责资料收集、工艺验证、条款编写、意见汇总处理。</w:t>
      </w:r>
    </w:p>
    <w:p w14:paraId="30C1A2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b/>
          <w:bCs/>
          <w:sz w:val="32"/>
          <w:szCs w:val="32"/>
        </w:rPr>
      </w:pPr>
      <w:r>
        <w:rPr>
          <w:rFonts w:hint="default" w:ascii="仿宋" w:hAnsi="仿宋" w:eastAsia="仿宋"/>
          <w:b/>
          <w:bCs/>
          <w:sz w:val="32"/>
          <w:szCs w:val="32"/>
        </w:rPr>
        <w:t>二、标准编制原则和确定标准主要内容</w:t>
      </w:r>
    </w:p>
    <w:p w14:paraId="63686570">
      <w:pPr>
        <w:spacing w:line="360" w:lineRule="auto"/>
        <w:ind w:firstLine="643" w:firstLineChars="200"/>
        <w:rPr>
          <w:rFonts w:hint="default" w:ascii="仿宋" w:hAnsi="仿宋" w:eastAsia="仿宋"/>
          <w:b/>
          <w:bCs/>
          <w:sz w:val="32"/>
          <w:szCs w:val="32"/>
          <w:lang w:val="en-US" w:eastAsia="zh-CN"/>
        </w:rPr>
      </w:pPr>
      <w:r>
        <w:rPr>
          <w:rFonts w:hint="default" w:ascii="仿宋" w:hAnsi="仿宋" w:eastAsia="仿宋"/>
          <w:b/>
          <w:bCs/>
          <w:sz w:val="32"/>
          <w:szCs w:val="32"/>
          <w:lang w:val="en-US" w:eastAsia="zh-CN"/>
        </w:rPr>
        <w:t>1. 编制原则</w:t>
      </w:r>
    </w:p>
    <w:p w14:paraId="5FC2C5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eastAsia" w:ascii="仿宋" w:hAnsi="仿宋" w:eastAsia="仿宋"/>
          <w:sz w:val="32"/>
          <w:szCs w:val="32"/>
        </w:rPr>
        <w:t>科学性</w:t>
      </w:r>
      <w:r>
        <w:rPr>
          <w:rFonts w:hint="default" w:ascii="仿宋" w:hAnsi="仿宋" w:eastAsia="仿宋"/>
          <w:sz w:val="32"/>
          <w:szCs w:val="32"/>
        </w:rPr>
        <w:t>：基于金属材料焊接冶金学原理及煤矿工况实际，合理设定预热、层间温度、堆焊顺序等参数。</w:t>
      </w:r>
    </w:p>
    <w:p w14:paraId="4DF043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default" w:ascii="仿宋" w:hAnsi="仿宋" w:eastAsia="仿宋"/>
          <w:sz w:val="32"/>
          <w:szCs w:val="32"/>
        </w:rPr>
        <w:t>适用性：兼顾新品制造和废旧刀齿修复，覆盖自动堆焊、手工电弧焊等多种方法。</w:t>
      </w:r>
    </w:p>
    <w:p w14:paraId="7A814E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default" w:ascii="仿宋" w:hAnsi="仿宋" w:eastAsia="仿宋"/>
          <w:sz w:val="32"/>
          <w:szCs w:val="32"/>
        </w:rPr>
        <w:t>规范性：引用现行有效国家标准、行业标准，确保术语、检验方法协调一致。</w:t>
      </w:r>
    </w:p>
    <w:p w14:paraId="5D5D19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default" w:ascii="仿宋" w:hAnsi="仿宋" w:eastAsia="仿宋"/>
          <w:sz w:val="32"/>
          <w:szCs w:val="32"/>
        </w:rPr>
        <w:t>可操作性：工艺参数以表格形式给出，便于现场执行；附录提供参考参数和检验记录表。</w:t>
      </w:r>
    </w:p>
    <w:p w14:paraId="0D81751E">
      <w:pPr>
        <w:numPr>
          <w:ilvl w:val="0"/>
          <w:numId w:val="1"/>
        </w:numPr>
        <w:spacing w:line="360" w:lineRule="auto"/>
        <w:ind w:firstLine="643" w:firstLineChars="200"/>
        <w:rPr>
          <w:rFonts w:hint="default" w:ascii="仿宋" w:hAnsi="仿宋" w:eastAsia="仿宋"/>
          <w:b/>
          <w:bCs/>
          <w:sz w:val="32"/>
          <w:szCs w:val="32"/>
          <w:lang w:val="en-US" w:eastAsia="zh-CN"/>
        </w:rPr>
      </w:pPr>
      <w:r>
        <w:rPr>
          <w:rFonts w:hint="default" w:ascii="仿宋" w:hAnsi="仿宋" w:eastAsia="仿宋"/>
          <w:b/>
          <w:bCs/>
          <w:sz w:val="32"/>
          <w:szCs w:val="32"/>
          <w:lang w:val="en-US" w:eastAsia="zh-CN"/>
        </w:rPr>
        <w:t>标准主要内容及依据</w:t>
      </w:r>
    </w:p>
    <w:p w14:paraId="7B9416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b/>
          <w:bCs/>
          <w:sz w:val="32"/>
          <w:szCs w:val="32"/>
        </w:rPr>
      </w:pPr>
      <w:r>
        <w:rPr>
          <w:rFonts w:hint="default" w:ascii="仿宋" w:hAnsi="仿宋" w:eastAsia="仿宋"/>
          <w:b/>
          <w:bCs/>
          <w:sz w:val="32"/>
          <w:szCs w:val="32"/>
        </w:rPr>
        <w:t>2.1 范围</w:t>
      </w:r>
    </w:p>
    <w:p w14:paraId="399D1B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default" w:ascii="仿宋" w:hAnsi="仿宋" w:eastAsia="仿宋"/>
          <w:sz w:val="32"/>
          <w:szCs w:val="32"/>
        </w:rPr>
        <w:t>本文件规定了煤矿顺槽用破碎机刀齿（以下简称</w:t>
      </w:r>
      <w:r>
        <w:rPr>
          <w:rFonts w:hint="eastAsia" w:ascii="仿宋" w:hAnsi="仿宋" w:eastAsia="仿宋"/>
          <w:sz w:val="32"/>
          <w:szCs w:val="32"/>
          <w:lang w:eastAsia="zh-CN"/>
        </w:rPr>
        <w:t>“</w:t>
      </w:r>
      <w:r>
        <w:rPr>
          <w:rFonts w:hint="default" w:ascii="仿宋" w:hAnsi="仿宋" w:eastAsia="仿宋"/>
          <w:sz w:val="32"/>
          <w:szCs w:val="32"/>
        </w:rPr>
        <w:t>刀齿</w:t>
      </w:r>
      <w:r>
        <w:rPr>
          <w:rFonts w:hint="eastAsia" w:ascii="仿宋" w:hAnsi="仿宋" w:eastAsia="仿宋"/>
          <w:sz w:val="32"/>
          <w:szCs w:val="32"/>
          <w:lang w:eastAsia="zh-CN"/>
        </w:rPr>
        <w:t>”</w:t>
      </w:r>
      <w:r>
        <w:rPr>
          <w:rFonts w:hint="default" w:ascii="仿宋" w:hAnsi="仿宋" w:eastAsia="仿宋"/>
          <w:sz w:val="32"/>
          <w:szCs w:val="32"/>
        </w:rPr>
        <w:t>）堆焊相关术语定义、堆焊材料、堆焊设备、堆焊技术要求、工艺规程、质量检验方法。适用于煤矿顺槽用破碎机合金钢基体刀齿的堆焊层工艺规范及质量检测。覆盖新品制造与旧</w:t>
      </w:r>
      <w:r>
        <w:rPr>
          <w:rFonts w:hint="eastAsia" w:ascii="仿宋" w:hAnsi="仿宋" w:eastAsia="仿宋"/>
          <w:sz w:val="32"/>
          <w:szCs w:val="32"/>
          <w:lang w:val="en-US" w:eastAsia="zh-CN"/>
        </w:rPr>
        <w:t>品</w:t>
      </w:r>
      <w:r>
        <w:rPr>
          <w:rFonts w:hint="default" w:ascii="仿宋" w:hAnsi="仿宋" w:eastAsia="仿宋"/>
          <w:sz w:val="32"/>
          <w:szCs w:val="32"/>
        </w:rPr>
        <w:t>修复，明确合金钢基体适用边界。</w:t>
      </w:r>
    </w:p>
    <w:p w14:paraId="7AF483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b/>
          <w:bCs/>
          <w:sz w:val="32"/>
          <w:szCs w:val="32"/>
        </w:rPr>
      </w:pPr>
      <w:r>
        <w:rPr>
          <w:rFonts w:hint="default" w:ascii="仿宋" w:hAnsi="仿宋" w:eastAsia="仿宋"/>
          <w:b/>
          <w:bCs/>
          <w:sz w:val="32"/>
          <w:szCs w:val="32"/>
        </w:rPr>
        <w:t>2.2 规范性引用文件</w:t>
      </w:r>
    </w:p>
    <w:p w14:paraId="24BD78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default" w:ascii="仿宋" w:hAnsi="仿宋" w:eastAsia="仿宋"/>
          <w:sz w:val="32"/>
          <w:szCs w:val="32"/>
        </w:rPr>
        <w:t>依据正文实际引用的标准，列出GB/T 230.1、</w:t>
      </w:r>
      <w:r>
        <w:rPr>
          <w:rFonts w:hint="eastAsia" w:ascii="仿宋" w:hAnsi="仿宋" w:eastAsia="仿宋"/>
          <w:sz w:val="32"/>
          <w:szCs w:val="32"/>
        </w:rPr>
        <w:t>GB/T 984</w:t>
      </w:r>
      <w:r>
        <w:rPr>
          <w:rFonts w:hint="eastAsia" w:ascii="仿宋" w:hAnsi="仿宋" w:eastAsia="仿宋"/>
          <w:sz w:val="32"/>
          <w:szCs w:val="32"/>
          <w:lang w:eastAsia="zh-CN"/>
        </w:rPr>
        <w:t>、</w:t>
      </w:r>
      <w:r>
        <w:rPr>
          <w:rFonts w:hint="eastAsia" w:ascii="仿宋" w:hAnsi="仿宋" w:eastAsia="仿宋"/>
          <w:sz w:val="32"/>
          <w:szCs w:val="32"/>
        </w:rPr>
        <w:t>GB/T 3375—199</w:t>
      </w:r>
      <w:r>
        <w:rPr>
          <w:rFonts w:hint="eastAsia" w:ascii="仿宋" w:hAnsi="仿宋" w:eastAsia="仿宋"/>
          <w:sz w:val="32"/>
          <w:szCs w:val="32"/>
          <w:lang w:val="en-US" w:eastAsia="zh-CN"/>
        </w:rPr>
        <w:t>4</w:t>
      </w:r>
      <w:r>
        <w:rPr>
          <w:rFonts w:hint="eastAsia" w:ascii="仿宋" w:hAnsi="仿宋" w:eastAsia="仿宋"/>
          <w:sz w:val="32"/>
          <w:szCs w:val="32"/>
          <w:lang w:eastAsia="zh-CN"/>
        </w:rPr>
        <w:t>、</w:t>
      </w:r>
      <w:r>
        <w:rPr>
          <w:rFonts w:hint="eastAsia" w:ascii="仿宋" w:hAnsi="仿宋" w:eastAsia="仿宋"/>
          <w:sz w:val="32"/>
          <w:szCs w:val="32"/>
        </w:rPr>
        <w:t>GB/T 3609.1</w:t>
      </w:r>
      <w:r>
        <w:rPr>
          <w:rFonts w:hint="eastAsia" w:ascii="仿宋" w:hAnsi="仿宋" w:eastAsia="仿宋"/>
          <w:sz w:val="32"/>
          <w:szCs w:val="32"/>
          <w:lang w:eastAsia="zh-CN"/>
        </w:rPr>
        <w:t>、</w:t>
      </w:r>
      <w:r>
        <w:rPr>
          <w:rFonts w:hint="eastAsia" w:ascii="仿宋" w:hAnsi="仿宋" w:eastAsia="仿宋"/>
          <w:sz w:val="32"/>
          <w:szCs w:val="32"/>
        </w:rPr>
        <w:t>GB/T 6417.1</w:t>
      </w:r>
      <w:r>
        <w:rPr>
          <w:rFonts w:hint="eastAsia" w:ascii="仿宋" w:hAnsi="仿宋" w:eastAsia="仿宋"/>
          <w:sz w:val="32"/>
          <w:szCs w:val="32"/>
          <w:lang w:eastAsia="zh-CN"/>
        </w:rPr>
        <w:t>、</w:t>
      </w:r>
      <w:r>
        <w:rPr>
          <w:rFonts w:hint="eastAsia" w:ascii="仿宋" w:hAnsi="仿宋" w:eastAsia="仿宋"/>
          <w:sz w:val="32"/>
          <w:szCs w:val="32"/>
        </w:rPr>
        <w:t>GB/T 15579.1</w:t>
      </w:r>
      <w:r>
        <w:rPr>
          <w:rFonts w:hint="eastAsia" w:ascii="仿宋" w:hAnsi="仿宋" w:eastAsia="仿宋"/>
          <w:sz w:val="32"/>
          <w:szCs w:val="32"/>
          <w:lang w:eastAsia="zh-CN"/>
        </w:rPr>
        <w:t>、</w:t>
      </w:r>
      <w:r>
        <w:rPr>
          <w:rFonts w:hint="eastAsia" w:ascii="仿宋" w:hAnsi="仿宋" w:eastAsia="仿宋"/>
          <w:sz w:val="32"/>
          <w:szCs w:val="32"/>
        </w:rPr>
        <w:t>GB/T 32259—2015</w:t>
      </w:r>
      <w:r>
        <w:rPr>
          <w:rFonts w:hint="eastAsia" w:ascii="仿宋" w:hAnsi="仿宋" w:eastAsia="仿宋"/>
          <w:sz w:val="32"/>
          <w:szCs w:val="32"/>
          <w:lang w:eastAsia="zh-CN"/>
        </w:rPr>
        <w:t>、</w:t>
      </w:r>
      <w:r>
        <w:rPr>
          <w:rFonts w:hint="eastAsia" w:ascii="仿宋" w:hAnsi="仿宋" w:eastAsia="仿宋"/>
          <w:sz w:val="32"/>
          <w:szCs w:val="32"/>
        </w:rPr>
        <w:t>JB/T 3223</w:t>
      </w:r>
      <w:r>
        <w:rPr>
          <w:rFonts w:hint="eastAsia" w:ascii="仿宋" w:hAnsi="仿宋" w:eastAsia="仿宋"/>
          <w:sz w:val="32"/>
          <w:szCs w:val="32"/>
          <w:lang w:eastAsia="zh-CN"/>
        </w:rPr>
        <w:t>、</w:t>
      </w:r>
      <w:r>
        <w:rPr>
          <w:rFonts w:hint="eastAsia" w:ascii="仿宋" w:hAnsi="仿宋" w:eastAsia="仿宋"/>
          <w:sz w:val="32"/>
          <w:szCs w:val="32"/>
        </w:rPr>
        <w:t>JB/T 5065</w:t>
      </w:r>
      <w:r>
        <w:rPr>
          <w:rFonts w:hint="eastAsia" w:ascii="仿宋" w:hAnsi="仿宋" w:eastAsia="仿宋"/>
          <w:sz w:val="32"/>
          <w:szCs w:val="32"/>
          <w:lang w:eastAsia="zh-CN"/>
        </w:rPr>
        <w:t>、</w:t>
      </w:r>
      <w:r>
        <w:rPr>
          <w:rFonts w:hint="eastAsia" w:ascii="仿宋" w:hAnsi="仿宋" w:eastAsia="仿宋"/>
          <w:sz w:val="32"/>
          <w:szCs w:val="32"/>
        </w:rPr>
        <w:t>JB/T 8748</w:t>
      </w:r>
      <w:r>
        <w:rPr>
          <w:rFonts w:hint="default" w:ascii="仿宋" w:hAnsi="仿宋" w:eastAsia="仿宋"/>
          <w:sz w:val="32"/>
          <w:szCs w:val="32"/>
        </w:rPr>
        <w:t>等1</w:t>
      </w:r>
      <w:r>
        <w:rPr>
          <w:rFonts w:hint="eastAsia" w:ascii="仿宋" w:hAnsi="仿宋" w:eastAsia="仿宋"/>
          <w:sz w:val="32"/>
          <w:szCs w:val="32"/>
          <w:lang w:val="en-US" w:eastAsia="zh-CN"/>
        </w:rPr>
        <w:t>0</w:t>
      </w:r>
      <w:r>
        <w:rPr>
          <w:rFonts w:hint="default" w:ascii="仿宋" w:hAnsi="仿宋" w:eastAsia="仿宋"/>
          <w:sz w:val="32"/>
          <w:szCs w:val="32"/>
        </w:rPr>
        <w:t>项现行有效标准，确保引用文件与正文一一对应。</w:t>
      </w:r>
    </w:p>
    <w:p w14:paraId="3AD77F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b/>
          <w:bCs/>
          <w:sz w:val="32"/>
          <w:szCs w:val="32"/>
        </w:rPr>
      </w:pPr>
      <w:r>
        <w:rPr>
          <w:rFonts w:hint="default" w:ascii="仿宋" w:hAnsi="仿宋" w:eastAsia="仿宋"/>
          <w:b/>
          <w:bCs/>
          <w:sz w:val="32"/>
          <w:szCs w:val="32"/>
        </w:rPr>
        <w:t>2.3 术语和定义</w:t>
      </w:r>
    </w:p>
    <w:p w14:paraId="060C42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eastAsia" w:ascii="仿宋" w:hAnsi="仿宋" w:eastAsia="仿宋"/>
          <w:sz w:val="32"/>
          <w:szCs w:val="32"/>
        </w:rPr>
        <w:t>给出了</w:t>
      </w:r>
      <w:r>
        <w:rPr>
          <w:rFonts w:hint="eastAsia" w:ascii="仿宋" w:hAnsi="仿宋" w:eastAsia="仿宋"/>
          <w:sz w:val="32"/>
          <w:szCs w:val="32"/>
          <w:lang w:eastAsia="zh-CN"/>
        </w:rPr>
        <w:t>“</w:t>
      </w:r>
      <w:r>
        <w:rPr>
          <w:rFonts w:hint="eastAsia" w:ascii="仿宋" w:hAnsi="仿宋" w:eastAsia="仿宋"/>
          <w:sz w:val="32"/>
          <w:szCs w:val="32"/>
        </w:rPr>
        <w:t>堆焊</w:t>
      </w:r>
      <w:r>
        <w:rPr>
          <w:rFonts w:hint="eastAsia" w:ascii="仿宋" w:hAnsi="仿宋" w:eastAsia="仿宋"/>
          <w:sz w:val="32"/>
          <w:szCs w:val="32"/>
          <w:lang w:eastAsia="zh-CN"/>
        </w:rPr>
        <w:t>”、“</w:t>
      </w:r>
      <w:r>
        <w:rPr>
          <w:rFonts w:hint="eastAsia" w:ascii="仿宋" w:hAnsi="仿宋" w:eastAsia="仿宋"/>
          <w:sz w:val="32"/>
          <w:szCs w:val="32"/>
        </w:rPr>
        <w:t>打底焊</w:t>
      </w:r>
      <w:r>
        <w:rPr>
          <w:rFonts w:hint="eastAsia" w:ascii="仿宋" w:hAnsi="仿宋" w:eastAsia="仿宋"/>
          <w:sz w:val="32"/>
          <w:szCs w:val="32"/>
          <w:lang w:eastAsia="zh-CN"/>
        </w:rPr>
        <w:t>”、“</w:t>
      </w:r>
      <w:r>
        <w:rPr>
          <w:rFonts w:hint="eastAsia" w:ascii="仿宋" w:hAnsi="仿宋" w:eastAsia="仿宋"/>
          <w:sz w:val="32"/>
          <w:szCs w:val="32"/>
        </w:rPr>
        <w:t>搭接率</w:t>
      </w:r>
      <w:r>
        <w:rPr>
          <w:rFonts w:hint="eastAsia" w:ascii="仿宋" w:hAnsi="仿宋" w:eastAsia="仿宋"/>
          <w:sz w:val="32"/>
          <w:szCs w:val="32"/>
          <w:lang w:eastAsia="zh-CN"/>
        </w:rPr>
        <w:t>”、“</w:t>
      </w:r>
      <w:r>
        <w:rPr>
          <w:rFonts w:hint="eastAsia" w:ascii="仿宋" w:hAnsi="仿宋" w:eastAsia="仿宋"/>
          <w:sz w:val="32"/>
          <w:szCs w:val="32"/>
        </w:rPr>
        <w:t>稀释率</w:t>
      </w:r>
      <w:r>
        <w:rPr>
          <w:rFonts w:hint="eastAsia" w:ascii="仿宋" w:hAnsi="仿宋" w:eastAsia="仿宋"/>
          <w:sz w:val="32"/>
          <w:szCs w:val="32"/>
          <w:lang w:eastAsia="zh-CN"/>
        </w:rPr>
        <w:t>”</w:t>
      </w:r>
      <w:r>
        <w:rPr>
          <w:rFonts w:hint="eastAsia" w:ascii="仿宋" w:hAnsi="仿宋" w:eastAsia="仿宋"/>
          <w:sz w:val="32"/>
          <w:szCs w:val="32"/>
        </w:rPr>
        <w:t>4项术语定义，其中</w:t>
      </w:r>
      <w:r>
        <w:rPr>
          <w:rFonts w:hint="eastAsia" w:ascii="仿宋" w:hAnsi="仿宋" w:eastAsia="仿宋"/>
          <w:sz w:val="32"/>
          <w:szCs w:val="32"/>
          <w:lang w:eastAsia="zh-CN"/>
        </w:rPr>
        <w:t>“</w:t>
      </w:r>
      <w:r>
        <w:rPr>
          <w:rFonts w:hint="eastAsia" w:ascii="仿宋" w:hAnsi="仿宋" w:eastAsia="仿宋"/>
          <w:sz w:val="32"/>
          <w:szCs w:val="32"/>
        </w:rPr>
        <w:t>堆焊</w:t>
      </w:r>
      <w:r>
        <w:rPr>
          <w:rFonts w:hint="eastAsia" w:ascii="仿宋" w:hAnsi="仿宋" w:eastAsia="仿宋"/>
          <w:sz w:val="32"/>
          <w:szCs w:val="32"/>
          <w:lang w:eastAsia="zh-CN"/>
        </w:rPr>
        <w:t>”、“</w:t>
      </w:r>
      <w:r>
        <w:rPr>
          <w:rFonts w:hint="eastAsia" w:ascii="仿宋" w:hAnsi="仿宋" w:eastAsia="仿宋"/>
          <w:sz w:val="32"/>
          <w:szCs w:val="32"/>
        </w:rPr>
        <w:t>打底焊</w:t>
      </w:r>
      <w:r>
        <w:rPr>
          <w:rFonts w:hint="eastAsia" w:ascii="仿宋" w:hAnsi="仿宋" w:eastAsia="仿宋"/>
          <w:sz w:val="32"/>
          <w:szCs w:val="32"/>
          <w:lang w:eastAsia="zh-CN"/>
        </w:rPr>
        <w:t>”</w:t>
      </w:r>
      <w:r>
        <w:rPr>
          <w:rFonts w:hint="eastAsia" w:ascii="仿宋" w:hAnsi="仿宋" w:eastAsia="仿宋"/>
          <w:sz w:val="32"/>
          <w:szCs w:val="32"/>
        </w:rPr>
        <w:t>分别引用GB/T 3375—1994第3.65条和第3.67条；</w:t>
      </w:r>
      <w:r>
        <w:rPr>
          <w:rFonts w:hint="eastAsia" w:ascii="仿宋" w:hAnsi="仿宋" w:eastAsia="仿宋"/>
          <w:sz w:val="32"/>
          <w:szCs w:val="32"/>
          <w:lang w:eastAsia="zh-CN"/>
        </w:rPr>
        <w:t>“</w:t>
      </w:r>
      <w:r>
        <w:rPr>
          <w:rFonts w:hint="eastAsia" w:ascii="仿宋" w:hAnsi="仿宋" w:eastAsia="仿宋"/>
          <w:sz w:val="32"/>
          <w:szCs w:val="32"/>
        </w:rPr>
        <w:t>搭接率</w:t>
      </w:r>
      <w:r>
        <w:rPr>
          <w:rFonts w:hint="eastAsia" w:ascii="仿宋" w:hAnsi="仿宋" w:eastAsia="仿宋"/>
          <w:sz w:val="32"/>
          <w:szCs w:val="32"/>
          <w:lang w:eastAsia="zh-CN"/>
        </w:rPr>
        <w:t>”“</w:t>
      </w:r>
      <w:r>
        <w:rPr>
          <w:rFonts w:hint="eastAsia" w:ascii="仿宋" w:hAnsi="仿宋" w:eastAsia="仿宋"/>
          <w:sz w:val="32"/>
          <w:szCs w:val="32"/>
        </w:rPr>
        <w:t>稀释率</w:t>
      </w:r>
      <w:r>
        <w:rPr>
          <w:rFonts w:hint="eastAsia" w:ascii="仿宋" w:hAnsi="仿宋" w:eastAsia="仿宋"/>
          <w:sz w:val="32"/>
          <w:szCs w:val="32"/>
          <w:lang w:eastAsia="zh-CN"/>
        </w:rPr>
        <w:t>”</w:t>
      </w:r>
      <w:r>
        <w:rPr>
          <w:rFonts w:hint="eastAsia" w:ascii="仿宋" w:hAnsi="仿宋" w:eastAsia="仿宋"/>
          <w:sz w:val="32"/>
          <w:szCs w:val="32"/>
        </w:rPr>
        <w:t>为本文件结合工艺需要自行界定的术语。</w:t>
      </w:r>
    </w:p>
    <w:p w14:paraId="14775C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b/>
          <w:bCs/>
          <w:sz w:val="32"/>
          <w:szCs w:val="32"/>
        </w:rPr>
      </w:pPr>
      <w:r>
        <w:rPr>
          <w:rFonts w:hint="default" w:ascii="仿宋" w:hAnsi="仿宋" w:eastAsia="仿宋"/>
          <w:b/>
          <w:bCs/>
          <w:sz w:val="32"/>
          <w:szCs w:val="32"/>
        </w:rPr>
        <w:t>2.4 人员与设备要求</w:t>
      </w:r>
    </w:p>
    <w:p w14:paraId="0BE172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eastAsia" w:ascii="仿宋" w:hAnsi="仿宋" w:eastAsia="仿宋"/>
          <w:sz w:val="32"/>
          <w:szCs w:val="32"/>
          <w:lang w:val="en-US" w:eastAsia="zh-CN"/>
        </w:rPr>
        <w:t>2.4.1</w:t>
      </w:r>
      <w:r>
        <w:rPr>
          <w:rFonts w:hint="default" w:ascii="仿宋" w:hAnsi="仿宋" w:eastAsia="仿宋"/>
          <w:sz w:val="32"/>
          <w:szCs w:val="32"/>
        </w:rPr>
        <w:t>人员要求</w:t>
      </w:r>
      <w:r>
        <w:rPr>
          <w:rFonts w:hint="eastAsia" w:ascii="仿宋" w:hAnsi="仿宋" w:eastAsia="仿宋"/>
          <w:sz w:val="32"/>
          <w:szCs w:val="32"/>
          <w:lang w:eastAsia="zh-CN"/>
        </w:rPr>
        <w:t>：</w:t>
      </w:r>
      <w:r>
        <w:rPr>
          <w:rFonts w:hint="default" w:ascii="仿宋" w:hAnsi="仿宋" w:eastAsia="仿宋"/>
          <w:sz w:val="32"/>
          <w:szCs w:val="32"/>
        </w:rPr>
        <w:t>操作人员需完成专项焊接安全技术培训并取得特种作业操作证，熟练掌握堆焊设备操作、缺陷识别与防控；作业全过程个体防护装备符合GB/T 3609.1焊接防护要求。</w:t>
      </w:r>
    </w:p>
    <w:p w14:paraId="411552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eastAsia" w:ascii="仿宋" w:hAnsi="仿宋" w:eastAsia="仿宋"/>
          <w:sz w:val="32"/>
          <w:szCs w:val="32"/>
          <w:lang w:val="en-US" w:eastAsia="zh-CN"/>
        </w:rPr>
        <w:t>2.4.2</w:t>
      </w:r>
      <w:r>
        <w:rPr>
          <w:rFonts w:hint="default" w:ascii="仿宋" w:hAnsi="仿宋" w:eastAsia="仿宋"/>
          <w:sz w:val="32"/>
          <w:szCs w:val="32"/>
        </w:rPr>
        <w:t>设备要求</w:t>
      </w:r>
      <w:r>
        <w:rPr>
          <w:rFonts w:hint="eastAsia" w:ascii="仿宋" w:hAnsi="仿宋" w:eastAsia="仿宋"/>
          <w:sz w:val="32"/>
          <w:szCs w:val="32"/>
          <w:lang w:eastAsia="zh-CN"/>
        </w:rPr>
        <w:t>：</w:t>
      </w:r>
      <w:r>
        <w:rPr>
          <w:rFonts w:hint="default" w:ascii="仿宋" w:hAnsi="仿宋" w:eastAsia="仿宋"/>
          <w:sz w:val="32"/>
          <w:szCs w:val="32"/>
        </w:rPr>
        <w:t>按四种堆焊工艺分别规定设备性能、电源、送丝、控制系统指标：手工电弧焊、手工MAG焊、机器人自动MAG焊、等离子熔覆设备，设备安全、性能分别符合GB/T 15579.1、JB/T 8748、JB/T 5065对应条款；规则工作面优先采用机器人自动 MAG 堆焊，复杂曲面 / 局部修复采用手工焊，高耐磨工况选用等离子粉末熔覆。</w:t>
      </w:r>
    </w:p>
    <w:p w14:paraId="429023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eastAsia" w:ascii="仿宋" w:hAnsi="仿宋" w:eastAsia="仿宋"/>
          <w:sz w:val="32"/>
          <w:szCs w:val="32"/>
          <w:lang w:val="en-US" w:eastAsia="zh-CN"/>
        </w:rPr>
        <w:t>2.4.3</w:t>
      </w:r>
      <w:r>
        <w:rPr>
          <w:rFonts w:hint="default" w:ascii="仿宋" w:hAnsi="仿宋" w:eastAsia="仿宋"/>
          <w:sz w:val="32"/>
          <w:szCs w:val="32"/>
        </w:rPr>
        <w:t>基体刀齿要求</w:t>
      </w:r>
      <w:r>
        <w:rPr>
          <w:rFonts w:hint="eastAsia" w:ascii="仿宋" w:hAnsi="仿宋" w:eastAsia="仿宋"/>
          <w:sz w:val="32"/>
          <w:szCs w:val="32"/>
          <w:lang w:eastAsia="zh-CN"/>
        </w:rPr>
        <w:t>：</w:t>
      </w:r>
      <w:r>
        <w:rPr>
          <w:rFonts w:hint="default" w:ascii="仿宋" w:hAnsi="仿宋" w:eastAsia="仿宋"/>
          <w:sz w:val="32"/>
          <w:szCs w:val="32"/>
        </w:rPr>
        <w:t>区分新刀齿、待修复旧刀齿两类管控要求：新刀齿焊前彻底清除油污锈蚀；修复刀齿执行清洗→尺寸检测→旧硬化/堆焊层去除→目视/无损探伤→缺欠判定→报废/修复处置全流程；基体裂纹、未熔合等危险性缺欠依据</w:t>
      </w:r>
      <w:bookmarkStart w:id="0" w:name="_GoBack"/>
      <w:bookmarkEnd w:id="0"/>
      <w:r>
        <w:rPr>
          <w:rFonts w:hint="default" w:ascii="仿宋" w:hAnsi="仿宋" w:eastAsia="仿宋"/>
          <w:sz w:val="32"/>
          <w:szCs w:val="32"/>
        </w:rPr>
        <w:t>GB/T 6417.1判定，深度贯穿裂纹直接报废。</w:t>
      </w:r>
    </w:p>
    <w:p w14:paraId="5512E7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eastAsia" w:ascii="仿宋" w:hAnsi="仿宋" w:eastAsia="仿宋"/>
          <w:sz w:val="32"/>
          <w:szCs w:val="32"/>
          <w:lang w:val="en-US" w:eastAsia="zh-CN"/>
        </w:rPr>
        <w:t>2.4.4</w:t>
      </w:r>
      <w:r>
        <w:rPr>
          <w:rFonts w:hint="default" w:ascii="仿宋" w:hAnsi="仿宋" w:eastAsia="仿宋"/>
          <w:sz w:val="32"/>
          <w:szCs w:val="32"/>
        </w:rPr>
        <w:t>堆焊材料要求</w:t>
      </w:r>
      <w:r>
        <w:rPr>
          <w:rFonts w:hint="eastAsia" w:ascii="仿宋" w:hAnsi="仿宋" w:eastAsia="仿宋"/>
          <w:sz w:val="32"/>
          <w:szCs w:val="32"/>
          <w:lang w:eastAsia="zh-CN"/>
        </w:rPr>
        <w:t>：</w:t>
      </w:r>
      <w:r>
        <w:rPr>
          <w:rFonts w:hint="default" w:ascii="仿宋" w:hAnsi="仿宋" w:eastAsia="仿宋"/>
          <w:sz w:val="32"/>
          <w:szCs w:val="32"/>
        </w:rPr>
        <w:t>焊材需具备出厂合格证与质量证明书，满足JB/T 3223；按焊接方式匹配焊条、药芯焊丝、铁/镍基合金粉末；耐磨焊条需250 ℃～300 ℃烘干保温1 h，干燥密封存放。</w:t>
      </w:r>
    </w:p>
    <w:p w14:paraId="0C4FF7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b/>
          <w:bCs/>
          <w:sz w:val="32"/>
          <w:szCs w:val="32"/>
        </w:rPr>
      </w:pPr>
      <w:r>
        <w:rPr>
          <w:rFonts w:hint="default" w:ascii="仿宋" w:hAnsi="仿宋" w:eastAsia="仿宋"/>
          <w:b/>
          <w:bCs/>
          <w:sz w:val="32"/>
          <w:szCs w:val="32"/>
        </w:rPr>
        <w:t>2.5 堆焊工艺流程与工艺参数</w:t>
      </w:r>
    </w:p>
    <w:p w14:paraId="6A9083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2.5.1标准工艺流程：焊前清理及无损检测→整体预热→打底焊→多层多道堆焊→焊后缓冷→修磨整形→成品检测。</w:t>
      </w:r>
    </w:p>
    <w:p w14:paraId="1BBC73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2.5.2预热工艺：工件整体均匀加热，表面温差≤30 ℃；按基体碳当量划分温度区间：Ceq≥0.5%合金钢预热 200 ℃～300 ℃，Ceq＜0.5% 合金钢预热100 ℃～150 ℃，禁止局部单点烘烤。</w:t>
      </w:r>
    </w:p>
    <w:p w14:paraId="04B0BD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2.5.3分工艺量化参数：分别给出手工电弧焊、手工MAG、机器人自动MAG、等离子熔覆电流、电压、焊接速度、搭接率、稀释率、层间温度等限定区间；统一规定搭接率30%～50%，层间温度200 ℃～300 ℃，等离子熔覆稀释率控制 2%～10%。</w:t>
      </w:r>
    </w:p>
    <w:p w14:paraId="5316C9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2.5.4参数选用与调整规则：打底焊选用参数区间下限；耐磨面层选用中值至上限；不同厂家焊材允许单项参数 ±10% 调整，调整后必须完成工艺验证并留存记录。</w:t>
      </w:r>
    </w:p>
    <w:p w14:paraId="50EDDA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2.5.5堆焊层厚度控制：打底层厚度 3 mm～5 mm，耐磨堆焊总厚度 10 mm～15 mm。</w:t>
      </w:r>
    </w:p>
    <w:p w14:paraId="72016B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2.6 焊后处理工艺</w:t>
      </w:r>
    </w:p>
    <w:p w14:paraId="144AA8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2.6.1焊后缓冷：堆焊完成立即入保温箱 / 缓冷坑冷却至室温，严禁室外风冷、水冷快速降温；</w:t>
      </w:r>
    </w:p>
    <w:p w14:paraId="4091C2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2.6.2去应力退火：高冲击、高耐磨工况刀齿必须退火，退火温度 450 ℃～550 ℃，温度不得超过基体调质回火温度。</w:t>
      </w:r>
    </w:p>
    <w:p w14:paraId="6B7B9D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2.7 质量检验</w:t>
      </w:r>
    </w:p>
    <w:p w14:paraId="467706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2.7.1外观检测：焊道平整圆滑、无密集飞溅、焊瘤、弧坑；允许长度≤2 mm、间距≥5 mm 均匀细小横向微裂纹，裂纹不得延伸至基体。</w:t>
      </w:r>
    </w:p>
    <w:p w14:paraId="0F3516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2.7.2无损检测：依据 GB/T 32259—2015 开展目视检测，必要时补充探伤检验，焊接缺欠分类执行GB/T 6417.1。</w:t>
      </w:r>
    </w:p>
    <w:p w14:paraId="1CB2A0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2.7.3硬度检测：按 GB/T 230.1洛氏硬度试验方法执行；无设计要求时耐磨层硬度不低于HRC55；每件检测不少于3点，测点距边缘≥5 mm，均匀分布于堆焊表面。</w:t>
      </w:r>
    </w:p>
    <w:p w14:paraId="239C46A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643" w:firstLineChars="200"/>
        <w:textAlignment w:val="auto"/>
        <w:rPr>
          <w:rFonts w:hint="default" w:ascii="仿宋" w:hAnsi="仿宋" w:eastAsia="仿宋"/>
          <w:b/>
          <w:bCs/>
          <w:sz w:val="32"/>
          <w:szCs w:val="32"/>
        </w:rPr>
      </w:pPr>
      <w:r>
        <w:rPr>
          <w:rFonts w:hint="default" w:ascii="仿宋" w:hAnsi="仿宋" w:eastAsia="仿宋"/>
          <w:b/>
          <w:bCs/>
          <w:sz w:val="32"/>
          <w:szCs w:val="32"/>
        </w:rPr>
        <w:t>与国内同类标准的差异</w:t>
      </w:r>
    </w:p>
    <w:p w14:paraId="049156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rPr>
      </w:pPr>
      <w:r>
        <w:rPr>
          <w:rFonts w:hint="eastAsia" w:ascii="仿宋" w:hAnsi="仿宋" w:eastAsia="仿宋"/>
          <w:sz w:val="32"/>
          <w:szCs w:val="32"/>
          <w:lang w:eastAsia="zh-CN"/>
        </w:rPr>
        <w:t>本文件</w:t>
      </w:r>
      <w:r>
        <w:rPr>
          <w:rFonts w:hint="default" w:ascii="仿宋" w:hAnsi="仿宋" w:eastAsia="仿宋"/>
          <w:sz w:val="32"/>
          <w:szCs w:val="32"/>
        </w:rPr>
        <w:t>区别于通用堆焊、重型机械焊接类标准（GB/T 40740、JB/T 5000.3），更加聚焦煤矿破碎机刀齿这一特定零件，首次系统规定了“打底层+硬面层”复合堆焊工艺、允许高铬堆焊层存在应力释放微裂纹、明确了碳当量Ceq≥0.5%时预热200 ℃～300 ℃的具体要求</w:t>
      </w:r>
      <w:r>
        <w:rPr>
          <w:rFonts w:hint="eastAsia" w:ascii="仿宋" w:hAnsi="仿宋" w:eastAsia="仿宋"/>
          <w:sz w:val="32"/>
          <w:szCs w:val="32"/>
          <w:lang w:eastAsia="zh-CN"/>
        </w:rPr>
        <w:t>，</w:t>
      </w:r>
      <w:r>
        <w:rPr>
          <w:rFonts w:hint="default" w:ascii="仿宋" w:hAnsi="仿宋" w:eastAsia="仿宋"/>
          <w:sz w:val="32"/>
          <w:szCs w:val="32"/>
        </w:rPr>
        <w:t>明确外观、硬度两级全检强制要求及无损检测补充条件，给出量化合格判定指标。</w:t>
      </w:r>
    </w:p>
    <w:p w14:paraId="2B2F72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三、试验验证</w:t>
      </w:r>
    </w:p>
    <w:p w14:paraId="7AF928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643" w:firstLineChars="200"/>
        <w:textAlignment w:val="auto"/>
        <w:rPr>
          <w:rFonts w:hint="default" w:ascii="仿宋" w:hAnsi="仿宋" w:eastAsia="仿宋"/>
          <w:b/>
          <w:bCs/>
          <w:sz w:val="32"/>
          <w:szCs w:val="32"/>
          <w:lang w:val="en-US" w:eastAsia="zh-CN"/>
        </w:rPr>
      </w:pPr>
      <w:r>
        <w:rPr>
          <w:rFonts w:hint="default" w:ascii="仿宋" w:hAnsi="仿宋" w:eastAsia="仿宋"/>
          <w:b/>
          <w:bCs/>
          <w:sz w:val="32"/>
          <w:szCs w:val="32"/>
          <w:lang w:val="en-US" w:eastAsia="zh-CN"/>
        </w:rPr>
        <w:t>1. 验证对象</w:t>
      </w:r>
    </w:p>
    <w:p w14:paraId="6AFBD7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lang w:val="en-US" w:eastAsia="zh-CN"/>
        </w:rPr>
      </w:pPr>
      <w:r>
        <w:rPr>
          <w:rFonts w:hint="default" w:ascii="仿宋" w:hAnsi="仿宋" w:eastAsia="仿宋"/>
          <w:sz w:val="32"/>
          <w:szCs w:val="32"/>
        </w:rPr>
        <w:t>煤矿刀齿常用合金钢基体（涵盖碳当量≥0.5%及＜0.5%两种类别），采用打底焊+耐磨面层复合堆焊结构，覆盖标准所规定的适用范围。</w:t>
      </w:r>
    </w:p>
    <w:p w14:paraId="2BDA85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643" w:firstLineChars="200"/>
        <w:textAlignment w:val="auto"/>
        <w:rPr>
          <w:rFonts w:hint="default" w:ascii="仿宋" w:hAnsi="仿宋" w:eastAsia="仿宋"/>
          <w:b/>
          <w:bCs/>
          <w:sz w:val="32"/>
          <w:szCs w:val="32"/>
          <w:lang w:val="en-US" w:eastAsia="zh-CN"/>
        </w:rPr>
      </w:pPr>
      <w:r>
        <w:rPr>
          <w:rFonts w:hint="default" w:ascii="仿宋" w:hAnsi="仿宋" w:eastAsia="仿宋"/>
          <w:b/>
          <w:bCs/>
          <w:sz w:val="32"/>
          <w:szCs w:val="32"/>
          <w:lang w:val="en-US" w:eastAsia="zh-CN"/>
        </w:rPr>
        <w:t>2. 验证项目</w:t>
      </w:r>
    </w:p>
    <w:p w14:paraId="7CBF8E3A">
      <w:pPr>
        <w:pStyle w:val="7"/>
        <w:keepNext w:val="0"/>
        <w:keepLines w:val="0"/>
        <w:pageBreakBefore w:val="0"/>
        <w:widowControl/>
        <w:suppressLineNumbers w:val="0"/>
        <w:shd w:val="clear"/>
        <w:kinsoku/>
        <w:wordWrap/>
        <w:overflowPunct/>
        <w:topLinePunct w:val="0"/>
        <w:autoSpaceDE/>
        <w:autoSpaceDN/>
        <w:bidi w:val="0"/>
        <w:adjustRightInd/>
        <w:snapToGrid/>
        <w:spacing w:before="120" w:beforeAutospacing="0" w:after="120" w:afterAutospacing="0"/>
        <w:ind w:left="0" w:right="0" w:firstLine="640" w:firstLineChars="200"/>
        <w:textAlignment w:val="auto"/>
        <w:rPr>
          <w:rFonts w:hint="default" w:ascii="仿宋" w:hAnsi="仿宋" w:eastAsia="仿宋" w:cs="Times New Roman"/>
          <w:b w:val="0"/>
          <w:bCs w:val="0"/>
          <w:kern w:val="2"/>
          <w:sz w:val="32"/>
          <w:szCs w:val="32"/>
          <w:lang w:val="en-US" w:eastAsia="zh-CN" w:bidi="ar-SA"/>
        </w:rPr>
      </w:pPr>
      <w:r>
        <w:rPr>
          <w:rFonts w:hint="default" w:ascii="仿宋" w:hAnsi="仿宋" w:eastAsia="仿宋" w:cs="Times New Roman"/>
          <w:b w:val="0"/>
          <w:bCs w:val="0"/>
          <w:kern w:val="2"/>
          <w:sz w:val="32"/>
          <w:szCs w:val="32"/>
          <w:lang w:val="en-US" w:eastAsia="zh-CN" w:bidi="ar-SA"/>
        </w:rPr>
        <w:t>硬度、抗裂性、外观尺寸。</w:t>
      </w:r>
    </w:p>
    <w:p w14:paraId="12CFA8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firstLine="643" w:firstLineChars="200"/>
        <w:textAlignment w:val="auto"/>
        <w:rPr>
          <w:rFonts w:hint="default" w:ascii="仿宋" w:hAnsi="仿宋" w:eastAsia="仿宋"/>
          <w:b/>
          <w:bCs/>
          <w:sz w:val="32"/>
          <w:szCs w:val="32"/>
          <w:lang w:val="en-US" w:eastAsia="zh-CN"/>
        </w:rPr>
      </w:pPr>
      <w:r>
        <w:rPr>
          <w:rFonts w:hint="default" w:ascii="仿宋" w:hAnsi="仿宋" w:eastAsia="仿宋"/>
          <w:b/>
          <w:bCs/>
          <w:sz w:val="32"/>
          <w:szCs w:val="32"/>
          <w:lang w:val="en-US" w:eastAsia="zh-CN"/>
        </w:rPr>
        <w:t>3. 结果</w:t>
      </w:r>
    </w:p>
    <w:p w14:paraId="16F2BD8E">
      <w:pPr>
        <w:pStyle w:val="7"/>
        <w:keepNext w:val="0"/>
        <w:keepLines w:val="0"/>
        <w:pageBreakBefore w:val="0"/>
        <w:widowControl/>
        <w:suppressLineNumbers w:val="0"/>
        <w:shd w:val="clear"/>
        <w:kinsoku/>
        <w:wordWrap/>
        <w:overflowPunct/>
        <w:topLinePunct w:val="0"/>
        <w:autoSpaceDE/>
        <w:autoSpaceDN/>
        <w:bidi w:val="0"/>
        <w:adjustRightInd/>
        <w:snapToGrid/>
        <w:spacing w:before="120" w:beforeAutospacing="0" w:after="120" w:afterAutospacing="0"/>
        <w:ind w:left="0" w:right="0" w:firstLine="640" w:firstLineChars="200"/>
        <w:textAlignment w:val="auto"/>
        <w:rPr>
          <w:rFonts w:hint="default" w:ascii="仿宋" w:hAnsi="仿宋" w:eastAsia="仿宋" w:cs="Times New Roman"/>
          <w:b w:val="0"/>
          <w:bCs w:val="0"/>
          <w:kern w:val="2"/>
          <w:sz w:val="32"/>
          <w:szCs w:val="32"/>
          <w:lang w:val="en-US" w:eastAsia="zh-CN" w:bidi="ar-SA"/>
        </w:rPr>
      </w:pPr>
      <w:r>
        <w:rPr>
          <w:rFonts w:hint="default" w:ascii="仿宋" w:hAnsi="仿宋" w:eastAsia="仿宋" w:cs="Times New Roman"/>
          <w:b w:val="0"/>
          <w:bCs w:val="0"/>
          <w:kern w:val="2"/>
          <w:sz w:val="32"/>
          <w:szCs w:val="32"/>
          <w:lang w:val="en-US" w:eastAsia="zh-CN" w:bidi="ar-SA"/>
        </w:rPr>
        <w:t>3.1 堆焊层无贯穿裂纹，结合强度满足使用要求。</w:t>
      </w:r>
    </w:p>
    <w:p w14:paraId="66062484">
      <w:pPr>
        <w:pStyle w:val="7"/>
        <w:keepNext w:val="0"/>
        <w:keepLines w:val="0"/>
        <w:pageBreakBefore w:val="0"/>
        <w:widowControl/>
        <w:suppressLineNumbers w:val="0"/>
        <w:shd w:val="clear"/>
        <w:kinsoku/>
        <w:wordWrap/>
        <w:overflowPunct/>
        <w:topLinePunct w:val="0"/>
        <w:autoSpaceDE/>
        <w:autoSpaceDN/>
        <w:bidi w:val="0"/>
        <w:adjustRightInd/>
        <w:snapToGrid/>
        <w:spacing w:before="120" w:beforeAutospacing="0" w:after="120" w:afterAutospacing="0"/>
        <w:ind w:left="0" w:right="0" w:firstLine="640" w:firstLineChars="200"/>
        <w:textAlignment w:val="auto"/>
        <w:rPr>
          <w:rFonts w:hint="default" w:ascii="仿宋" w:hAnsi="仿宋" w:eastAsia="仿宋" w:cs="Times New Roman"/>
          <w:b w:val="0"/>
          <w:bCs w:val="0"/>
          <w:kern w:val="2"/>
          <w:sz w:val="32"/>
          <w:szCs w:val="32"/>
          <w:lang w:val="en-US" w:eastAsia="zh-CN" w:bidi="ar-SA"/>
        </w:rPr>
      </w:pPr>
      <w:r>
        <w:rPr>
          <w:rFonts w:hint="default" w:ascii="仿宋" w:hAnsi="仿宋" w:eastAsia="仿宋" w:cs="Times New Roman"/>
          <w:b w:val="0"/>
          <w:bCs w:val="0"/>
          <w:kern w:val="2"/>
          <w:sz w:val="32"/>
          <w:szCs w:val="32"/>
          <w:lang w:val="en-US" w:eastAsia="zh-CN" w:bidi="ar-SA"/>
        </w:rPr>
        <w:t>3.2 硬度稳定在HRC5</w:t>
      </w:r>
      <w:r>
        <w:rPr>
          <w:rFonts w:hint="eastAsia" w:ascii="仿宋" w:hAnsi="仿宋" w:eastAsia="仿宋" w:cs="Times New Roman"/>
          <w:b w:val="0"/>
          <w:bCs w:val="0"/>
          <w:kern w:val="2"/>
          <w:sz w:val="32"/>
          <w:szCs w:val="32"/>
          <w:lang w:val="en-US" w:eastAsia="zh-CN" w:bidi="ar-SA"/>
        </w:rPr>
        <w:t>5以上</w:t>
      </w:r>
      <w:r>
        <w:rPr>
          <w:rFonts w:hint="default" w:ascii="仿宋" w:hAnsi="仿宋" w:eastAsia="仿宋" w:cs="Times New Roman"/>
          <w:b w:val="0"/>
          <w:bCs w:val="0"/>
          <w:kern w:val="2"/>
          <w:sz w:val="32"/>
          <w:szCs w:val="32"/>
          <w:lang w:val="en-US" w:eastAsia="zh-CN" w:bidi="ar-SA"/>
        </w:rPr>
        <w:t>，厚度偏差≤1 mm。</w:t>
      </w:r>
    </w:p>
    <w:p w14:paraId="0D3E3811">
      <w:pPr>
        <w:pStyle w:val="7"/>
        <w:keepNext w:val="0"/>
        <w:keepLines w:val="0"/>
        <w:pageBreakBefore w:val="0"/>
        <w:widowControl/>
        <w:suppressLineNumbers w:val="0"/>
        <w:shd w:val="clear"/>
        <w:kinsoku/>
        <w:wordWrap/>
        <w:overflowPunct/>
        <w:topLinePunct w:val="0"/>
        <w:autoSpaceDE/>
        <w:autoSpaceDN/>
        <w:bidi w:val="0"/>
        <w:adjustRightInd/>
        <w:snapToGrid/>
        <w:spacing w:before="120" w:beforeAutospacing="0" w:after="120" w:afterAutospacing="0"/>
        <w:ind w:left="0" w:right="0" w:firstLine="640" w:firstLineChars="200"/>
        <w:textAlignment w:val="auto"/>
        <w:rPr>
          <w:rFonts w:hint="eastAsia" w:ascii="仿宋" w:hAnsi="仿宋" w:eastAsia="仿宋" w:cs="Times New Roman"/>
          <w:b w:val="0"/>
          <w:bCs w:val="0"/>
          <w:kern w:val="2"/>
          <w:sz w:val="32"/>
          <w:szCs w:val="32"/>
          <w:lang w:val="en-US" w:eastAsia="zh-CN" w:bidi="ar-SA"/>
        </w:rPr>
      </w:pPr>
      <w:r>
        <w:rPr>
          <w:rFonts w:hint="default" w:ascii="仿宋" w:hAnsi="仿宋" w:eastAsia="仿宋" w:cs="Times New Roman"/>
          <w:b w:val="0"/>
          <w:bCs w:val="0"/>
          <w:kern w:val="2"/>
          <w:sz w:val="32"/>
          <w:szCs w:val="32"/>
          <w:lang w:val="en-US" w:eastAsia="zh-CN" w:bidi="ar-SA"/>
        </w:rPr>
        <w:t>3.3 井下工业</w:t>
      </w:r>
      <w:r>
        <w:rPr>
          <w:rFonts w:hint="eastAsia" w:ascii="仿宋" w:hAnsi="仿宋" w:eastAsia="仿宋" w:cs="Times New Roman"/>
          <w:b w:val="0"/>
          <w:bCs w:val="0"/>
          <w:kern w:val="2"/>
          <w:sz w:val="32"/>
          <w:szCs w:val="32"/>
          <w:lang w:val="en-US" w:eastAsia="zh-CN" w:bidi="ar-SA"/>
        </w:rPr>
        <w:t>性</w:t>
      </w:r>
      <w:r>
        <w:rPr>
          <w:rFonts w:hint="default" w:ascii="仿宋" w:hAnsi="仿宋" w:eastAsia="仿宋" w:cs="Times New Roman"/>
          <w:b w:val="0"/>
          <w:bCs w:val="0"/>
          <w:kern w:val="2"/>
          <w:sz w:val="32"/>
          <w:szCs w:val="32"/>
          <w:lang w:val="en-US" w:eastAsia="zh-CN" w:bidi="ar-SA"/>
        </w:rPr>
        <w:t>试验，堆焊修复刀齿使用寿命较原无堆焊刀齿</w:t>
      </w:r>
      <w:r>
        <w:rPr>
          <w:rFonts w:hint="eastAsia" w:ascii="仿宋" w:hAnsi="仿宋" w:eastAsia="仿宋" w:cs="Times New Roman"/>
          <w:b w:val="0"/>
          <w:bCs w:val="0"/>
          <w:kern w:val="2"/>
          <w:sz w:val="32"/>
          <w:szCs w:val="32"/>
          <w:lang w:val="en-US" w:eastAsia="zh-CN" w:bidi="ar-SA"/>
        </w:rPr>
        <w:t>显著</w:t>
      </w:r>
      <w:r>
        <w:rPr>
          <w:rFonts w:hint="default" w:ascii="仿宋" w:hAnsi="仿宋" w:eastAsia="仿宋" w:cs="Times New Roman"/>
          <w:b w:val="0"/>
          <w:bCs w:val="0"/>
          <w:kern w:val="2"/>
          <w:sz w:val="32"/>
          <w:szCs w:val="32"/>
          <w:lang w:val="en-US" w:eastAsia="zh-CN" w:bidi="ar-SA"/>
        </w:rPr>
        <w:t>，使用过程无表层剥落、整体开裂失效问题</w:t>
      </w:r>
      <w:r>
        <w:rPr>
          <w:rFonts w:hint="eastAsia" w:ascii="仿宋" w:hAnsi="仿宋" w:eastAsia="仿宋" w:cs="Times New Roman"/>
          <w:b w:val="0"/>
          <w:bCs w:val="0"/>
          <w:kern w:val="2"/>
          <w:sz w:val="32"/>
          <w:szCs w:val="32"/>
          <w:lang w:val="en-US" w:eastAsia="zh-CN" w:bidi="ar-SA"/>
        </w:rPr>
        <w:t>。</w:t>
      </w:r>
    </w:p>
    <w:p w14:paraId="74CB9491">
      <w:pPr>
        <w:pStyle w:val="7"/>
        <w:keepNext w:val="0"/>
        <w:keepLines w:val="0"/>
        <w:pageBreakBefore w:val="0"/>
        <w:widowControl/>
        <w:suppressLineNumbers w:val="0"/>
        <w:shd w:val="clear"/>
        <w:kinsoku/>
        <w:wordWrap/>
        <w:overflowPunct/>
        <w:topLinePunct w:val="0"/>
        <w:autoSpaceDE/>
        <w:autoSpaceDN/>
        <w:bidi w:val="0"/>
        <w:adjustRightInd/>
        <w:snapToGrid/>
        <w:spacing w:before="120" w:beforeAutospacing="0" w:after="120" w:afterAutospacing="0"/>
        <w:ind w:left="0" w:right="0" w:firstLine="643" w:firstLineChars="200"/>
        <w:textAlignment w:val="auto"/>
        <w:rPr>
          <w:rFonts w:hint="default" w:ascii="仿宋" w:hAnsi="仿宋" w:eastAsia="仿宋" w:cs="Times New Roman"/>
          <w:b/>
          <w:bCs/>
          <w:kern w:val="2"/>
          <w:sz w:val="32"/>
          <w:szCs w:val="32"/>
          <w:lang w:val="en-US" w:eastAsia="zh-CN" w:bidi="ar-SA"/>
        </w:rPr>
      </w:pPr>
      <w:r>
        <w:rPr>
          <w:rFonts w:hint="default" w:ascii="仿宋" w:hAnsi="仿宋" w:eastAsia="仿宋" w:cs="Times New Roman"/>
          <w:b/>
          <w:bCs/>
          <w:kern w:val="2"/>
          <w:sz w:val="32"/>
          <w:szCs w:val="32"/>
          <w:lang w:val="en-US" w:eastAsia="zh-CN" w:bidi="ar-SA"/>
        </w:rPr>
        <w:t>4. 验证结论</w:t>
      </w:r>
    </w:p>
    <w:p w14:paraId="6103DC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Times New Roman"/>
          <w:b w:val="0"/>
          <w:bCs w:val="0"/>
          <w:kern w:val="2"/>
          <w:sz w:val="32"/>
          <w:szCs w:val="32"/>
          <w:lang w:val="en-US" w:eastAsia="zh-CN" w:bidi="ar-SA"/>
        </w:rPr>
      </w:pPr>
      <w:r>
        <w:rPr>
          <w:rFonts w:hint="eastAsia" w:ascii="仿宋" w:hAnsi="仿宋" w:eastAsia="仿宋" w:cs="Times New Roman"/>
          <w:b w:val="0"/>
          <w:bCs w:val="0"/>
          <w:kern w:val="2"/>
          <w:sz w:val="32"/>
          <w:szCs w:val="32"/>
          <w:lang w:val="en-US" w:eastAsia="zh-CN" w:bidi="ar-SA"/>
        </w:rPr>
        <w:t>本文件</w:t>
      </w:r>
      <w:r>
        <w:rPr>
          <w:rFonts w:hint="default" w:ascii="仿宋" w:hAnsi="仿宋" w:eastAsia="仿宋" w:cs="Times New Roman"/>
          <w:b w:val="0"/>
          <w:bCs w:val="0"/>
          <w:kern w:val="2"/>
          <w:sz w:val="32"/>
          <w:szCs w:val="32"/>
          <w:lang w:val="en-US" w:eastAsia="zh-CN" w:bidi="ar-SA"/>
        </w:rPr>
        <w:t>规定的预热、堆焊参数、焊后处理、质量判定指标科学合理，工艺现场可落地，成品质量稳定可控，能够满足煤矿顺槽破碎机刀齿耐磨使用需求。</w:t>
      </w:r>
    </w:p>
    <w:p w14:paraId="4FF2F7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四、知识产权说明</w:t>
      </w:r>
    </w:p>
    <w:p w14:paraId="0625AC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本文件不涉及专利与自主知识产权，起草单位均签署自愿放弃专利承诺书，标准可免费使用。</w:t>
      </w:r>
    </w:p>
    <w:p w14:paraId="383E4B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五、采标情况</w:t>
      </w:r>
    </w:p>
    <w:p w14:paraId="015361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本标准在编写过程中参考了GB/T 40740、JB/T 5000.3等国内外相关标准。在关键指标（如硬度、无损检测要求）上不低于现行标准，在堆焊结构设计、微裂纹接受准则等方面有所创新，总体技术达到国内先进水平。</w:t>
      </w:r>
    </w:p>
    <w:p w14:paraId="10EC81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b/>
          <w:bCs/>
          <w:sz w:val="32"/>
          <w:szCs w:val="32"/>
        </w:rPr>
      </w:pPr>
      <w:r>
        <w:rPr>
          <w:rFonts w:hint="eastAsia" w:ascii="仿宋" w:hAnsi="仿宋" w:eastAsia="仿宋"/>
          <w:b/>
          <w:bCs/>
          <w:sz w:val="32"/>
          <w:szCs w:val="32"/>
        </w:rPr>
        <w:t>六、重大意见分歧处理</w:t>
      </w:r>
    </w:p>
    <w:p w14:paraId="45BF74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标准编制过程征求多单位意见，无重大技术分歧；少量非实质性修改意见均已采纳并修改完善。</w:t>
      </w:r>
    </w:p>
    <w:p w14:paraId="522350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本文件</w:t>
      </w:r>
      <w:r>
        <w:rPr>
          <w:rFonts w:hint="eastAsia" w:ascii="仿宋" w:hAnsi="仿宋" w:eastAsia="仿宋"/>
          <w:sz w:val="32"/>
          <w:szCs w:val="32"/>
        </w:rPr>
        <w:t>为推荐性团体标准，供煤矿设备制造、维修、使用单位自愿采用。</w:t>
      </w:r>
    </w:p>
    <w:p w14:paraId="44A338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本文件</w:t>
      </w:r>
      <w:r>
        <w:rPr>
          <w:rFonts w:hint="eastAsia" w:ascii="仿宋" w:hAnsi="仿宋" w:eastAsia="仿宋"/>
          <w:sz w:val="32"/>
          <w:szCs w:val="32"/>
        </w:rPr>
        <w:t>实施后，可定期根据技术进步与现场应用修订升级。</w:t>
      </w:r>
    </w:p>
    <w:p w14:paraId="5B02E7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本文件</w:t>
      </w:r>
      <w:r>
        <w:rPr>
          <w:rFonts w:hint="eastAsia" w:ascii="仿宋" w:hAnsi="仿宋" w:eastAsia="仿宋"/>
          <w:sz w:val="32"/>
          <w:szCs w:val="32"/>
        </w:rPr>
        <w:t>由宁夏机械工程学会负责解释。</w:t>
      </w:r>
    </w:p>
    <w:p w14:paraId="25F27E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lang w:val="en-US" w:eastAsia="zh-CN"/>
        </w:rPr>
      </w:pPr>
    </w:p>
    <w:p w14:paraId="3321B4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sz w:val="32"/>
          <w:szCs w:val="32"/>
          <w:lang w:val="en-US" w:eastAsia="zh-CN"/>
        </w:rPr>
      </w:pPr>
    </w:p>
    <w:p w14:paraId="68DE8B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rPr>
      </w:pPr>
    </w:p>
    <w:p w14:paraId="454B3E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BC0D0"/>
    <w:multiLevelType w:val="singleLevel"/>
    <w:tmpl w:val="8B7BC0D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A24"/>
    <w:rsid w:val="001E4BCE"/>
    <w:rsid w:val="005C2E23"/>
    <w:rsid w:val="007E2A24"/>
    <w:rsid w:val="008D1F7B"/>
    <w:rsid w:val="009E0E5D"/>
    <w:rsid w:val="00B557A6"/>
    <w:rsid w:val="00E31E92"/>
    <w:rsid w:val="0630784C"/>
    <w:rsid w:val="08EB19B8"/>
    <w:rsid w:val="1D547061"/>
    <w:rsid w:val="204E089A"/>
    <w:rsid w:val="21F42C20"/>
    <w:rsid w:val="256B2550"/>
    <w:rsid w:val="26A61FDB"/>
    <w:rsid w:val="2A7D1BB5"/>
    <w:rsid w:val="356A12DA"/>
    <w:rsid w:val="3837137A"/>
    <w:rsid w:val="38B844F1"/>
    <w:rsid w:val="3C7C60A9"/>
    <w:rsid w:val="3D5C1AA1"/>
    <w:rsid w:val="40017BAB"/>
    <w:rsid w:val="53A30B1B"/>
    <w:rsid w:val="66976CCF"/>
    <w:rsid w:val="676A1B15"/>
    <w:rsid w:val="687038A6"/>
    <w:rsid w:val="7E813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paragraph" w:customStyle="1" w:styleId="11">
    <w:name w:val="列出段落1"/>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12">
    <w:name w:val="页眉 Char"/>
    <w:basedOn w:val="9"/>
    <w:link w:val="6"/>
    <w:semiHidden/>
    <w:qFormat/>
    <w:uiPriority w:val="99"/>
    <w:rPr>
      <w:rFonts w:ascii="Times New Roman" w:hAnsi="Times New Roman" w:eastAsia="宋体" w:cs="Times New Roman"/>
      <w:sz w:val="18"/>
      <w:szCs w:val="18"/>
    </w:rPr>
  </w:style>
  <w:style w:type="character" w:customStyle="1" w:styleId="13">
    <w:name w:val="页脚 Char"/>
    <w:basedOn w:val="9"/>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1915</Words>
  <Characters>2262</Characters>
  <Lines>2</Lines>
  <Paragraphs>1</Paragraphs>
  <TotalTime>10</TotalTime>
  <ScaleCrop>false</ScaleCrop>
  <LinksUpToDate>false</LinksUpToDate>
  <CharactersWithSpaces>2317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2020-09-22T07:29:00Z</dcterms:created>
  <dc:creator>12345</dc:creator>
  <cp:lastModifiedBy>彭春涛</cp:lastModifiedBy>
  <dcterms:modified xsi:type="dcterms:W3CDTF">2026-07-14T06:19:11Z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33204C4A5F354725BC971C52C509086E_13</vt:lpwstr>
  </property>
  <property fmtid="{D5CDD505-2E9C-101B-9397-08002B2CF9AE}" pid="4" name="KSOTemplateDocerSaveRecord">
    <vt:lpwstr>eyJoZGlkIjoiNThlNTZkZDIxMDY0ZWRmOGE5N2MwMDgwZTkyMmI1NmEiLCJ1c2VySWQiOiIyMzgzMzA4MzIifQ==</vt:lpwstr>
  </property>
</Properties>
</file>