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A9E3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5E4D54D">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6D7A9EA">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25.160.10</w:t>
            </w:r>
            <w:r>
              <w:rPr>
                <w:rFonts w:ascii="黑体" w:hAnsi="黑体" w:eastAsia="黑体"/>
                <w:sz w:val="21"/>
                <w:szCs w:val="21"/>
              </w:rPr>
              <w:t>     </w:t>
            </w:r>
            <w:r>
              <w:rPr>
                <w:rFonts w:ascii="黑体" w:hAnsi="黑体" w:eastAsia="黑体"/>
                <w:sz w:val="21"/>
                <w:szCs w:val="21"/>
              </w:rPr>
              <w:fldChar w:fldCharType="end"/>
            </w:r>
            <w:bookmarkEnd w:id="0"/>
          </w:p>
        </w:tc>
      </w:tr>
      <w:tr w14:paraId="2CC4D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3FD2570">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D1DA70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1921AE0">
                  <w:pPr>
                    <w:pStyle w:val="50"/>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14:paraId="559E162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9</w:t>
            </w:r>
            <w:r>
              <w:rPr>
                <w:rFonts w:hint="eastAsia" w:ascii="黑体" w:hAnsi="黑体" w:eastAsia="黑体"/>
                <w:sz w:val="21"/>
                <w:szCs w:val="21"/>
                <w:lang w:val="en-US" w:eastAsia="zh-CN"/>
              </w:rPr>
              <w:t>4</w:t>
            </w:r>
            <w:r>
              <w:rPr>
                <w:rFonts w:ascii="黑体" w:hAnsi="黑体" w:eastAsia="黑体"/>
                <w:sz w:val="21"/>
                <w:szCs w:val="21"/>
              </w:rPr>
              <w:fldChar w:fldCharType="end"/>
            </w:r>
            <w:bookmarkEnd w:id="2"/>
          </w:p>
        </w:tc>
      </w:tr>
    </w:tbl>
    <w:p w14:paraId="161BCF4A">
      <w:pPr>
        <w:pStyle w:val="51"/>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43EC1316">
      <w:pPr>
        <w:pStyle w:val="196"/>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lang w:eastAsia="zh-CN"/>
        </w:rPr>
        <w:t>2</w:t>
      </w:r>
      <w:r>
        <w:rPr>
          <w:rFonts w:hint="eastAsia"/>
          <w:lang w:val="en-US" w:eastAsia="zh-CN"/>
        </w:rPr>
        <w:t>026</w:t>
      </w:r>
      <w:r>
        <w:fldChar w:fldCharType="end"/>
      </w:r>
      <w:bookmarkEnd w:id="7"/>
    </w:p>
    <w:p w14:paraId="52A51E97">
      <w:pPr>
        <w:pStyle w:val="19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3935A6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6FFE932">
      <w:pPr>
        <w:pStyle w:val="51"/>
        <w:framePr w:w="9639" w:h="6976" w:hRule="exact" w:hSpace="0" w:vSpace="0" w:wrap="around" w:hAnchor="page" w:y="6408"/>
        <w:jc w:val="center"/>
        <w:rPr>
          <w:rFonts w:hint="eastAsia" w:ascii="黑体" w:hAnsi="黑体" w:eastAsia="黑体"/>
          <w:b w:val="0"/>
          <w:bCs w:val="0"/>
          <w:w w:val="100"/>
        </w:rPr>
      </w:pPr>
    </w:p>
    <w:p w14:paraId="02A223D2">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煤矿顺槽用破碎机刀齿堆焊工艺规范</w:t>
      </w:r>
      <w:r>
        <w:fldChar w:fldCharType="end"/>
      </w:r>
      <w:bookmarkEnd w:id="9"/>
    </w:p>
    <w:p w14:paraId="2144DE0C">
      <w:pPr>
        <w:framePr w:w="9639" w:h="6974" w:hRule="exact" w:wrap="around" w:vAnchor="page" w:hAnchor="page" w:x="1419" w:y="6408" w:anchorLock="1"/>
        <w:ind w:left="-1418"/>
      </w:pPr>
    </w:p>
    <w:p w14:paraId="6A073306">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Recommended process specification for hardfacing of crusher pick teeth for coal mine gate road     </w:t>
      </w:r>
      <w:r>
        <w:rPr>
          <w:rFonts w:eastAsia="黑体"/>
          <w:szCs w:val="28"/>
        </w:rPr>
        <w:fldChar w:fldCharType="end"/>
      </w:r>
      <w:bookmarkEnd w:id="10"/>
    </w:p>
    <w:p w14:paraId="313D54A8">
      <w:pPr>
        <w:framePr w:w="9639" w:h="6974" w:hRule="exact" w:wrap="around" w:vAnchor="page" w:hAnchor="page" w:x="1419" w:y="6408" w:anchorLock="1"/>
        <w:spacing w:line="760" w:lineRule="exact"/>
        <w:ind w:left="-1418"/>
      </w:pPr>
    </w:p>
    <w:p w14:paraId="18E584F4">
      <w:pPr>
        <w:pStyle w:val="126"/>
        <w:framePr w:w="9639" w:h="6974" w:hRule="exact" w:wrap="around" w:vAnchor="page" w:hAnchor="page" w:x="1419" w:y="6408" w:anchorLock="1"/>
        <w:textAlignment w:val="bottom"/>
        <w:rPr>
          <w:rFonts w:eastAsia="黑体"/>
          <w:szCs w:val="28"/>
        </w:rPr>
      </w:pPr>
    </w:p>
    <w:p w14:paraId="382A48E7">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93B8B9A">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（本草案完成时间：</w:t>
      </w:r>
      <w:r>
        <w:rPr>
          <w:rFonts w:hint="eastAsia"/>
          <w:sz w:val="21"/>
          <w:szCs w:val="28"/>
          <w:lang w:val="en-US" w:eastAsia="zh-CN"/>
        </w:rPr>
        <w:t>2026年6月30日</w:t>
      </w:r>
      <w:r>
        <w:rPr>
          <w:sz w:val="21"/>
          <w:szCs w:val="28"/>
        </w:rPr>
        <w:t>）</w:t>
      </w:r>
      <w:r>
        <w:rPr>
          <w:sz w:val="21"/>
          <w:szCs w:val="28"/>
        </w:rPr>
        <w:fldChar w:fldCharType="end"/>
      </w:r>
      <w:bookmarkEnd w:id="12"/>
    </w:p>
    <w:p w14:paraId="0C6769F1">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657F19A">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6DCA3D9">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9867BE4">
      <w:pPr>
        <w:pStyle w:val="152"/>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宁夏机械工程学会</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74BE5A5">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567C21F">
      <w:pPr>
        <w:pStyle w:val="92"/>
        <w:bidi w:val="0"/>
        <w:rPr>
          <w:rFonts w:hint="eastAsia"/>
          <w:lang w:eastAsia="zh-CN"/>
        </w:rPr>
      </w:pPr>
      <w:bookmarkStart w:id="21" w:name="BookMark1"/>
      <w:bookmarkStart w:id="22" w:name="_Toc32200"/>
      <w:bookmarkStart w:id="23" w:name="_Toc21002"/>
      <w:bookmarkStart w:id="24" w:name="_Toc25528"/>
      <w:bookmarkStart w:id="25" w:name="_Toc29084"/>
      <w:bookmarkStart w:id="26" w:name="_Toc32715"/>
      <w:bookmarkStart w:id="27" w:name="_Toc26256"/>
      <w:bookmarkStart w:id="28" w:name="_Toc17265"/>
      <w:bookmarkStart w:id="29" w:name="_Toc1328"/>
      <w:r>
        <w:rPr>
          <w:rFonts w:hint="eastAsia"/>
          <w:spacing w:val="320"/>
          <w:lang w:eastAsia="zh-CN"/>
        </w:rPr>
        <w:t>目</w:t>
      </w:r>
      <w:r>
        <w:rPr>
          <w:rFonts w:hint="eastAsia"/>
          <w:lang w:eastAsia="zh-CN"/>
        </w:rPr>
        <w:t>次</w:t>
      </w:r>
    </w:p>
    <w:p w14:paraId="0D427646">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TOC \o "1-1" \t "标准文件_一级条标题,2,标准文件_附录一级条标题,2," \h</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_Toc19164 </w:instrText>
      </w:r>
      <w:r>
        <w:rPr>
          <w:rFonts w:hint="eastAsia"/>
          <w:spacing w:val="0"/>
          <w:lang w:eastAsia="zh-CN"/>
        </w:rPr>
        <w:fldChar w:fldCharType="separate"/>
      </w:r>
      <w:r>
        <w:rPr>
          <w:rFonts w:hint="eastAsia"/>
          <w:spacing w:val="0"/>
          <w:lang w:eastAsia="zh-CN"/>
        </w:rPr>
        <w:t>前言</w:t>
      </w:r>
      <w:r>
        <w:rPr>
          <w:spacing w:val="0"/>
        </w:rPr>
        <w:tab/>
      </w:r>
      <w:r>
        <w:rPr>
          <w:spacing w:val="0"/>
        </w:rPr>
        <w:fldChar w:fldCharType="begin"/>
      </w:r>
      <w:r>
        <w:rPr>
          <w:spacing w:val="0"/>
        </w:rPr>
        <w:instrText xml:space="preserve"> PAGEREF _Toc19164 \h </w:instrText>
      </w:r>
      <w:r>
        <w:rPr>
          <w:spacing w:val="0"/>
        </w:rPr>
        <w:fldChar w:fldCharType="separate"/>
      </w:r>
      <w:r>
        <w:rPr>
          <w:spacing w:val="0"/>
        </w:rPr>
        <w:t>II</w:t>
      </w:r>
      <w:r>
        <w:rPr>
          <w:spacing w:val="0"/>
        </w:rPr>
        <w:fldChar w:fldCharType="end"/>
      </w:r>
      <w:r>
        <w:rPr>
          <w:rFonts w:hint="eastAsia"/>
          <w:spacing w:val="0"/>
          <w:lang w:eastAsia="zh-CN"/>
        </w:rPr>
        <w:fldChar w:fldCharType="end"/>
      </w:r>
    </w:p>
    <w:p w14:paraId="468E15E5">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_Toc5635 </w:instrText>
      </w:r>
      <w:r>
        <w:rPr>
          <w:rFonts w:hint="eastAsia"/>
          <w:spacing w:val="0"/>
          <w:lang w:eastAsia="zh-CN"/>
        </w:rPr>
        <w:fldChar w:fldCharType="separate"/>
      </w:r>
      <w:r>
        <w:rPr>
          <w:rFonts w:hint="eastAsia" w:ascii="黑体" w:eastAsia="黑体"/>
          <w:i w:val="0"/>
          <w:spacing w:val="0"/>
        </w:rPr>
        <w:t>1</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范围</w:t>
      </w:r>
      <w:r>
        <w:rPr>
          <w:spacing w:val="0"/>
        </w:rPr>
        <w:tab/>
      </w:r>
      <w:r>
        <w:rPr>
          <w:spacing w:val="0"/>
        </w:rPr>
        <w:fldChar w:fldCharType="begin"/>
      </w:r>
      <w:r>
        <w:rPr>
          <w:spacing w:val="0"/>
        </w:rPr>
        <w:instrText xml:space="preserve"> PAGEREF _Toc5635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0FAFF41F">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_Toc12711 </w:instrText>
      </w:r>
      <w:r>
        <w:rPr>
          <w:rFonts w:hint="eastAsia"/>
          <w:spacing w:val="0"/>
          <w:lang w:eastAsia="zh-CN"/>
        </w:rPr>
        <w:fldChar w:fldCharType="separate"/>
      </w:r>
      <w:r>
        <w:rPr>
          <w:rFonts w:hint="eastAsia" w:ascii="黑体" w:eastAsia="黑体"/>
          <w:i w:val="0"/>
          <w:spacing w:val="0"/>
        </w:rPr>
        <w:t>2</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规范性引用文件</w:t>
      </w:r>
      <w:r>
        <w:rPr>
          <w:spacing w:val="0"/>
        </w:rPr>
        <w:tab/>
      </w:r>
      <w:r>
        <w:rPr>
          <w:spacing w:val="0"/>
        </w:rPr>
        <w:fldChar w:fldCharType="begin"/>
      </w:r>
      <w:r>
        <w:rPr>
          <w:spacing w:val="0"/>
        </w:rPr>
        <w:instrText xml:space="preserve"> PAGEREF _Toc12711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578A27F6">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_Toc12260 </w:instrText>
      </w:r>
      <w:r>
        <w:rPr>
          <w:rFonts w:hint="eastAsia"/>
          <w:spacing w:val="0"/>
          <w:lang w:eastAsia="zh-CN"/>
        </w:rPr>
        <w:fldChar w:fldCharType="separate"/>
      </w:r>
      <w:r>
        <w:rPr>
          <w:rFonts w:hint="eastAsia" w:ascii="黑体" w:eastAsia="黑体"/>
          <w:i w:val="0"/>
          <w:spacing w:val="0"/>
        </w:rPr>
        <w:t>3</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术语和定义</w:t>
      </w:r>
      <w:r>
        <w:rPr>
          <w:spacing w:val="0"/>
        </w:rPr>
        <w:tab/>
      </w:r>
      <w:r>
        <w:rPr>
          <w:spacing w:val="0"/>
        </w:rPr>
        <w:fldChar w:fldCharType="begin"/>
      </w:r>
      <w:r>
        <w:rPr>
          <w:spacing w:val="0"/>
        </w:rPr>
        <w:instrText xml:space="preserve"> PAGEREF _Toc12260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55D5F482">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_Toc10337 </w:instrText>
      </w:r>
      <w:r>
        <w:rPr>
          <w:rFonts w:hint="eastAsia"/>
          <w:spacing w:val="0"/>
          <w:lang w:eastAsia="zh-CN"/>
        </w:rPr>
        <w:fldChar w:fldCharType="separate"/>
      </w:r>
      <w:r>
        <w:rPr>
          <w:rFonts w:hint="eastAsia" w:ascii="黑体" w:eastAsia="黑体"/>
          <w:i w:val="0"/>
          <w:spacing w:val="0"/>
        </w:rPr>
        <w:t>4</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焊前准备</w:t>
      </w:r>
      <w:r>
        <w:rPr>
          <w:spacing w:val="0"/>
        </w:rPr>
        <w:tab/>
      </w:r>
      <w:r>
        <w:rPr>
          <w:spacing w:val="0"/>
        </w:rPr>
        <w:fldChar w:fldCharType="begin"/>
      </w:r>
      <w:r>
        <w:rPr>
          <w:spacing w:val="0"/>
        </w:rPr>
        <w:instrText xml:space="preserve"> PAGEREF _Toc10337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5ACFF9A4">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_Toc28994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4.1</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人员要求</w:t>
      </w:r>
      <w:r>
        <w:rPr>
          <w:spacing w:val="0"/>
        </w:rPr>
        <w:tab/>
      </w:r>
      <w:r>
        <w:rPr>
          <w:spacing w:val="0"/>
        </w:rPr>
        <w:fldChar w:fldCharType="begin"/>
      </w:r>
      <w:r>
        <w:rPr>
          <w:spacing w:val="0"/>
        </w:rPr>
        <w:instrText xml:space="preserve"> PAGEREF _Toc28994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2680C7E7">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_Toc7106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4.2  </w:t>
      </w:r>
      <w:r>
        <w:rPr>
          <w:rFonts w:hint="eastAsia"/>
          <w:spacing w:val="0"/>
          <w:lang w:val="en-US" w:eastAsia="zh-CN"/>
        </w:rPr>
        <w:t>设备要求</w:t>
      </w:r>
      <w:r>
        <w:rPr>
          <w:spacing w:val="0"/>
        </w:rPr>
        <w:tab/>
      </w:r>
      <w:r>
        <w:rPr>
          <w:spacing w:val="0"/>
        </w:rPr>
        <w:fldChar w:fldCharType="begin"/>
      </w:r>
      <w:r>
        <w:rPr>
          <w:spacing w:val="0"/>
        </w:rPr>
        <w:instrText xml:space="preserve"> PAGEREF _Toc7106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79F1C87A">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_Toc30790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4.3</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lang w:val="en-US" w:eastAsia="zh-CN"/>
        </w:rPr>
        <w:t>基体与堆焊</w:t>
      </w:r>
      <w:r>
        <w:rPr>
          <w:spacing w:val="0"/>
        </w:rPr>
        <w:t>材料要求</w:t>
      </w:r>
      <w:r>
        <w:rPr>
          <w:spacing w:val="0"/>
        </w:rPr>
        <w:tab/>
      </w:r>
      <w:r>
        <w:rPr>
          <w:spacing w:val="0"/>
        </w:rPr>
        <w:fldChar w:fldCharType="begin"/>
      </w:r>
      <w:r>
        <w:rPr>
          <w:spacing w:val="0"/>
        </w:rPr>
        <w:instrText xml:space="preserve"> PAGEREF _Toc30790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4932298D">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_Toc19552 </w:instrText>
      </w:r>
      <w:r>
        <w:rPr>
          <w:rFonts w:hint="eastAsia"/>
          <w:spacing w:val="0"/>
          <w:lang w:eastAsia="zh-CN"/>
        </w:rPr>
        <w:fldChar w:fldCharType="separate"/>
      </w:r>
      <w:r>
        <w:rPr>
          <w:rFonts w:hint="eastAsia" w:ascii="黑体" w:eastAsia="黑体"/>
          <w:i w:val="0"/>
          <w:spacing w:val="0"/>
        </w:rPr>
        <w:t>5</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lang w:val="en-US" w:eastAsia="zh-CN"/>
        </w:rPr>
        <w:t>堆焊工艺流程与工艺参数</w:t>
      </w:r>
      <w:r>
        <w:rPr>
          <w:spacing w:val="0"/>
        </w:rPr>
        <w:tab/>
      </w:r>
      <w:r>
        <w:rPr>
          <w:spacing w:val="0"/>
        </w:rPr>
        <w:fldChar w:fldCharType="begin"/>
      </w:r>
      <w:r>
        <w:rPr>
          <w:spacing w:val="0"/>
        </w:rPr>
        <w:instrText xml:space="preserve"> PAGEREF _Toc19552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379B765A">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_Toc23060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5.1</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spacing w:val="0"/>
        </w:rPr>
        <w:t>工艺流程</w:t>
      </w:r>
      <w:r>
        <w:rPr>
          <w:spacing w:val="0"/>
        </w:rPr>
        <w:tab/>
      </w:r>
      <w:r>
        <w:rPr>
          <w:spacing w:val="0"/>
        </w:rPr>
        <w:fldChar w:fldCharType="begin"/>
      </w:r>
      <w:r>
        <w:rPr>
          <w:spacing w:val="0"/>
        </w:rPr>
        <w:instrText xml:space="preserve"> PAGEREF _Toc23060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31D8AB9D">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_Toc32292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5.2</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default"/>
          <w:spacing w:val="0"/>
        </w:rPr>
        <w:t>预热工艺</w:t>
      </w:r>
      <w:r>
        <w:rPr>
          <w:spacing w:val="0"/>
        </w:rPr>
        <w:tab/>
      </w:r>
      <w:r>
        <w:rPr>
          <w:spacing w:val="0"/>
        </w:rPr>
        <w:fldChar w:fldCharType="begin"/>
      </w:r>
      <w:r>
        <w:rPr>
          <w:spacing w:val="0"/>
        </w:rPr>
        <w:instrText xml:space="preserve"> PAGEREF _Toc32292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0400650B">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_Toc10461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5.3  </w:t>
      </w:r>
      <w:r>
        <w:rPr>
          <w:rFonts w:hint="default"/>
          <w:spacing w:val="0"/>
        </w:rPr>
        <w:t>堆焊工艺参数</w:t>
      </w:r>
      <w:r>
        <w:rPr>
          <w:spacing w:val="0"/>
        </w:rPr>
        <w:tab/>
      </w:r>
      <w:r>
        <w:rPr>
          <w:spacing w:val="0"/>
        </w:rPr>
        <w:fldChar w:fldCharType="begin"/>
      </w:r>
      <w:r>
        <w:rPr>
          <w:spacing w:val="0"/>
        </w:rPr>
        <w:instrText xml:space="preserve"> PAGEREF _Toc10461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2CFADC85">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_Toc10404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5.4</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default"/>
          <w:spacing w:val="0"/>
        </w:rPr>
        <w:t>参数选用要求</w:t>
      </w:r>
      <w:r>
        <w:rPr>
          <w:spacing w:val="0"/>
        </w:rPr>
        <w:tab/>
      </w:r>
      <w:r>
        <w:rPr>
          <w:spacing w:val="0"/>
        </w:rPr>
        <w:fldChar w:fldCharType="begin"/>
      </w:r>
      <w:r>
        <w:rPr>
          <w:spacing w:val="0"/>
        </w:rPr>
        <w:instrText xml:space="preserve"> PAGEREF _Toc10404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6B698DD4">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_Toc7012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5.5</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default"/>
          <w:spacing w:val="0"/>
        </w:rPr>
        <w:t>堆焊层厚度控制要求</w:t>
      </w:r>
      <w:r>
        <w:rPr>
          <w:spacing w:val="0"/>
        </w:rPr>
        <w:tab/>
      </w:r>
      <w:r>
        <w:rPr>
          <w:spacing w:val="0"/>
        </w:rPr>
        <w:fldChar w:fldCharType="begin"/>
      </w:r>
      <w:r>
        <w:rPr>
          <w:spacing w:val="0"/>
        </w:rPr>
        <w:instrText xml:space="preserve"> PAGEREF _Toc7012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08875933">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_Toc22295 </w:instrText>
      </w:r>
      <w:r>
        <w:rPr>
          <w:rFonts w:hint="eastAsia"/>
          <w:spacing w:val="0"/>
          <w:lang w:eastAsia="zh-CN"/>
        </w:rPr>
        <w:fldChar w:fldCharType="separate"/>
      </w:r>
      <w:r>
        <w:rPr>
          <w:rFonts w:hint="eastAsia" w:ascii="黑体" w:eastAsia="黑体"/>
          <w:i w:val="0"/>
          <w:spacing w:val="0"/>
        </w:rPr>
        <w:t>6</w:t>
      </w:r>
      <w:r>
        <w:rPr>
          <w:rFonts w:hint="eastAsia" w:ascii="黑体" w:eastAsia="黑体"/>
          <w:i w:val="0"/>
          <w:spacing w:val="0"/>
          <w:lang w:eastAsia="zh-CN"/>
        </w:rPr>
        <w:t xml:space="preserve"> </w:t>
      </w:r>
      <w:r>
        <w:rPr>
          <w:rFonts w:hint="eastAsia" w:ascii="黑体" w:eastAsia="黑体"/>
          <w:i w:val="0"/>
          <w:spacing w:val="0"/>
        </w:rPr>
        <w:t xml:space="preserve"> </w:t>
      </w:r>
      <w:r>
        <w:rPr>
          <w:rFonts w:hint="default"/>
          <w:spacing w:val="0"/>
        </w:rPr>
        <w:t>焊后处理工艺</w:t>
      </w:r>
      <w:r>
        <w:rPr>
          <w:spacing w:val="0"/>
        </w:rPr>
        <w:tab/>
      </w:r>
      <w:r>
        <w:rPr>
          <w:spacing w:val="0"/>
        </w:rPr>
        <w:fldChar w:fldCharType="begin"/>
      </w:r>
      <w:r>
        <w:rPr>
          <w:spacing w:val="0"/>
        </w:rPr>
        <w:instrText xml:space="preserve"> PAGEREF _Toc22295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79AA63F0">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_Toc27034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6.1</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default"/>
          <w:spacing w:val="0"/>
        </w:rPr>
        <w:t>焊后缓冷要求</w:t>
      </w:r>
      <w:r>
        <w:rPr>
          <w:spacing w:val="0"/>
        </w:rPr>
        <w:tab/>
      </w:r>
      <w:r>
        <w:rPr>
          <w:spacing w:val="0"/>
        </w:rPr>
        <w:fldChar w:fldCharType="begin"/>
      </w:r>
      <w:r>
        <w:rPr>
          <w:spacing w:val="0"/>
        </w:rPr>
        <w:instrText xml:space="preserve"> PAGEREF _Toc27034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1A23E013">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_Toc7405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6.2</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default"/>
          <w:spacing w:val="0"/>
        </w:rPr>
        <w:t>去应力退火工艺</w:t>
      </w:r>
      <w:r>
        <w:rPr>
          <w:spacing w:val="0"/>
        </w:rPr>
        <w:tab/>
      </w:r>
      <w:r>
        <w:rPr>
          <w:spacing w:val="0"/>
        </w:rPr>
        <w:fldChar w:fldCharType="begin"/>
      </w:r>
      <w:r>
        <w:rPr>
          <w:spacing w:val="0"/>
        </w:rPr>
        <w:instrText xml:space="preserve"> PAGEREF _Toc7405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6D18F974">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_Toc20297 </w:instrText>
      </w:r>
      <w:r>
        <w:rPr>
          <w:rFonts w:hint="eastAsia"/>
          <w:spacing w:val="0"/>
          <w:lang w:eastAsia="zh-CN"/>
        </w:rPr>
        <w:fldChar w:fldCharType="separate"/>
      </w:r>
      <w:r>
        <w:rPr>
          <w:rFonts w:hint="eastAsia" w:ascii="黑体" w:eastAsia="黑体"/>
          <w:i w:val="0"/>
          <w:spacing w:val="0"/>
        </w:rPr>
        <w:t>7</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lang w:eastAsia="zh-CN"/>
        </w:rPr>
        <w:t>质量检验</w:t>
      </w:r>
      <w:r>
        <w:rPr>
          <w:spacing w:val="0"/>
        </w:rPr>
        <w:tab/>
      </w:r>
      <w:r>
        <w:rPr>
          <w:spacing w:val="0"/>
        </w:rPr>
        <w:fldChar w:fldCharType="begin"/>
      </w:r>
      <w:r>
        <w:rPr>
          <w:spacing w:val="0"/>
        </w:rPr>
        <w:instrText xml:space="preserve"> PAGEREF _Toc20297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111056F5">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_Toc27753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7.1</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default"/>
          <w:spacing w:val="0"/>
        </w:rPr>
        <w:t>外观检测</w:t>
      </w:r>
      <w:r>
        <w:rPr>
          <w:spacing w:val="0"/>
        </w:rPr>
        <w:tab/>
      </w:r>
      <w:r>
        <w:rPr>
          <w:spacing w:val="0"/>
        </w:rPr>
        <w:fldChar w:fldCharType="begin"/>
      </w:r>
      <w:r>
        <w:rPr>
          <w:spacing w:val="0"/>
        </w:rPr>
        <w:instrText xml:space="preserve"> PAGEREF _Toc27753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32963C4E">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_Toc27873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7.2</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default"/>
          <w:strike w:val="0"/>
          <w:dstrike w:val="0"/>
          <w:spacing w:val="0"/>
        </w:rPr>
        <w:t>无损检测</w:t>
      </w:r>
      <w:r>
        <w:rPr>
          <w:spacing w:val="0"/>
        </w:rPr>
        <w:tab/>
      </w:r>
      <w:r>
        <w:rPr>
          <w:spacing w:val="0"/>
        </w:rPr>
        <w:fldChar w:fldCharType="begin"/>
      </w:r>
      <w:r>
        <w:rPr>
          <w:spacing w:val="0"/>
        </w:rPr>
        <w:instrText xml:space="preserve"> PAGEREF _Toc27873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67B2787A">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_Toc18079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7.3</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default"/>
          <w:spacing w:val="0"/>
        </w:rPr>
        <w:t>硬度检测</w:t>
      </w:r>
      <w:r>
        <w:rPr>
          <w:spacing w:val="0"/>
        </w:rPr>
        <w:tab/>
      </w:r>
      <w:r>
        <w:rPr>
          <w:spacing w:val="0"/>
        </w:rPr>
        <w:fldChar w:fldCharType="begin"/>
      </w:r>
      <w:r>
        <w:rPr>
          <w:spacing w:val="0"/>
        </w:rPr>
        <w:instrText xml:space="preserve"> PAGEREF _Toc18079 \h </w:instrText>
      </w:r>
      <w:r>
        <w:rPr>
          <w:spacing w:val="0"/>
        </w:rPr>
        <w:fldChar w:fldCharType="separate"/>
      </w:r>
      <w:r>
        <w:rPr>
          <w:spacing w:val="0"/>
        </w:rPr>
        <w:t>5</w:t>
      </w:r>
      <w:r>
        <w:rPr>
          <w:spacing w:val="0"/>
        </w:rPr>
        <w:fldChar w:fldCharType="end"/>
      </w:r>
      <w:r>
        <w:rPr>
          <w:rFonts w:hint="eastAsia"/>
          <w:spacing w:val="0"/>
          <w:lang w:eastAsia="zh-CN"/>
        </w:rPr>
        <w:fldChar w:fldCharType="end"/>
      </w:r>
    </w:p>
    <w:p w14:paraId="28F3D27F">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_Toc16357 </w:instrText>
      </w:r>
      <w:r>
        <w:rPr>
          <w:rFonts w:hint="eastAsia"/>
          <w:spacing w:val="0"/>
          <w:lang w:eastAsia="zh-CN"/>
        </w:rPr>
        <w:fldChar w:fldCharType="separate"/>
      </w:r>
      <w:r>
        <w:rPr>
          <w:rFonts w:hint="eastAsia"/>
          <w:spacing w:val="0"/>
        </w:rPr>
        <w:t>参考文献</w:t>
      </w:r>
      <w:r>
        <w:rPr>
          <w:spacing w:val="0"/>
        </w:rPr>
        <w:tab/>
      </w:r>
      <w:r>
        <w:rPr>
          <w:spacing w:val="0"/>
        </w:rPr>
        <w:fldChar w:fldCharType="begin"/>
      </w:r>
      <w:r>
        <w:rPr>
          <w:spacing w:val="0"/>
        </w:rPr>
        <w:instrText xml:space="preserve"> PAGEREF _Toc16357 \h </w:instrText>
      </w:r>
      <w:r>
        <w:rPr>
          <w:spacing w:val="0"/>
        </w:rPr>
        <w:fldChar w:fldCharType="separate"/>
      </w:r>
      <w:r>
        <w:rPr>
          <w:spacing w:val="0"/>
        </w:rPr>
        <w:t>6</w:t>
      </w:r>
      <w:r>
        <w:rPr>
          <w:spacing w:val="0"/>
        </w:rPr>
        <w:fldChar w:fldCharType="end"/>
      </w:r>
      <w:r>
        <w:rPr>
          <w:rFonts w:hint="eastAsia"/>
          <w:spacing w:val="0"/>
          <w:lang w:eastAsia="zh-CN"/>
        </w:rPr>
        <w:fldChar w:fldCharType="end"/>
      </w:r>
    </w:p>
    <w:p w14:paraId="422C425A">
      <w:pPr>
        <w:pStyle w:val="92"/>
        <w:bidi w:val="0"/>
        <w:rPr>
          <w:rFonts w:hint="eastAsia"/>
          <w:spacing w:val="0"/>
          <w:lang w:eastAsia="zh-CN"/>
        </w:rPr>
        <w:sectPr>
          <w:pgSz w:w="11906" w:h="16838"/>
          <w:pgMar w:top="2410"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
      <w:r>
        <w:rPr>
          <w:rFonts w:hint="eastAsia"/>
          <w:spacing w:val="0"/>
          <w:lang w:eastAsia="zh-CN"/>
        </w:rPr>
        <w:fldChar w:fldCharType="end"/>
      </w:r>
    </w:p>
    <w:bookmarkEnd w:id="21"/>
    <w:p w14:paraId="75B5C2AE">
      <w:pPr>
        <w:pStyle w:val="90"/>
        <w:bidi w:val="0"/>
        <w:spacing w:before="560"/>
        <w:rPr>
          <w:rFonts w:hint="eastAsia"/>
          <w:lang w:eastAsia="zh-CN"/>
        </w:rPr>
      </w:pPr>
      <w:bookmarkStart w:id="30" w:name="_Toc19164"/>
      <w:bookmarkStart w:id="31" w:name="BookMark2"/>
      <w:r>
        <w:rPr>
          <w:rFonts w:hint="eastAsia"/>
          <w:spacing w:val="320"/>
          <w:lang w:eastAsia="zh-CN"/>
        </w:rPr>
        <w:t>前</w:t>
      </w:r>
      <w:r>
        <w:rPr>
          <w:rFonts w:hint="eastAsia"/>
          <w:lang w:eastAsia="zh-CN"/>
        </w:rPr>
        <w:t>言</w:t>
      </w:r>
      <w:bookmarkEnd w:id="22"/>
      <w:bookmarkEnd w:id="23"/>
      <w:bookmarkEnd w:id="24"/>
      <w:bookmarkEnd w:id="25"/>
      <w:bookmarkEnd w:id="26"/>
      <w:bookmarkEnd w:id="27"/>
      <w:bookmarkEnd w:id="28"/>
      <w:bookmarkEnd w:id="29"/>
      <w:bookmarkEnd w:id="30"/>
    </w:p>
    <w:p w14:paraId="592912DA">
      <w:pPr>
        <w:pStyle w:val="57"/>
        <w:bidi w:val="0"/>
        <w:rPr>
          <w:rFonts w:hint="eastAsia"/>
          <w:lang w:eastAsia="zh-CN"/>
        </w:rPr>
      </w:pPr>
      <w:r>
        <w:rPr>
          <w:rFonts w:hint="eastAsia"/>
          <w:lang w:eastAsia="zh-CN"/>
        </w:rPr>
        <w:t>本文件按照GB/T 1.1—2020《标准化工作导则  第1部分：标准化文件的结构和起草规则》的规定起草。</w:t>
      </w:r>
    </w:p>
    <w:p w14:paraId="2F62F349">
      <w:pPr>
        <w:pStyle w:val="57"/>
        <w:ind w:firstLine="420"/>
      </w:pPr>
      <w:r>
        <w:rPr>
          <w:rFonts w:hint="eastAsia"/>
        </w:rPr>
        <w:t>请注意本文件的某些内容可能涉及专利。本文件的发布机构不承担识别这些专利的责任。</w:t>
      </w:r>
    </w:p>
    <w:p w14:paraId="558AA9BD">
      <w:pPr>
        <w:pStyle w:val="57"/>
        <w:ind w:firstLine="420"/>
      </w:pPr>
      <w:r>
        <w:rPr>
          <w:rFonts w:hint="eastAsia"/>
        </w:rPr>
        <w:t>本文件由宁夏天地奔牛实业集团有限公司提出。</w:t>
      </w:r>
    </w:p>
    <w:p w14:paraId="77E6D0AB">
      <w:pPr>
        <w:pStyle w:val="57"/>
        <w:ind w:firstLine="420"/>
      </w:pPr>
      <w:r>
        <w:rPr>
          <w:rFonts w:hint="eastAsia"/>
        </w:rPr>
        <w:t>本文件由宁夏机械工程学会归口。</w:t>
      </w:r>
    </w:p>
    <w:p w14:paraId="0D27BE2A">
      <w:pPr>
        <w:pStyle w:val="57"/>
        <w:ind w:firstLine="420"/>
      </w:pPr>
      <w:r>
        <w:rPr>
          <w:rFonts w:hint="eastAsia"/>
        </w:rPr>
        <w:t>本文件起草单位：宁夏天地奔牛实业集团有限公司、宁夏天地奔牛链条有限公司、天地宁夏支护装备有限公司、宁夏特鑫焊接热喷涂有限公司。</w:t>
      </w:r>
    </w:p>
    <w:p w14:paraId="126D8AB1">
      <w:pPr>
        <w:pStyle w:val="57"/>
        <w:ind w:firstLine="420"/>
        <w:rPr>
          <w:rFonts w:hint="default"/>
          <w:lang w:val="en-US"/>
        </w:rPr>
      </w:pPr>
      <w:r>
        <w:rPr>
          <w:rFonts w:hint="eastAsia"/>
        </w:rPr>
        <w:t>本文件主要起草人：</w:t>
      </w:r>
      <w:r>
        <w:rPr>
          <w:rFonts w:hint="eastAsia"/>
          <w:lang w:val="en-US" w:eastAsia="zh-CN"/>
        </w:rPr>
        <w:t>彭春涛、刘成、陈兵、张磊、詹鑫、王荣武、商涛、朱永年、董曼淑、高武孝、陈云、杨海利、罗素文、卜侃侃、任园、童广宇、刘伟、高风琴、郭涛、王若、王宇、葛旎、王彩君、张文迁</w:t>
      </w:r>
    </w:p>
    <w:p w14:paraId="1E81DB4D">
      <w:pPr>
        <w:pStyle w:val="57"/>
        <w:ind w:firstLine="420"/>
        <w:sectPr>
          <w:pgSz w:w="11906" w:h="16838"/>
          <w:pgMar w:top="2410" w:right="1134" w:bottom="1134" w:left="1134" w:header="1418" w:footer="1134" w:gutter="284"/>
          <w:pgBorders>
            <w:top w:val="none" w:sz="0" w:space="0"/>
            <w:left w:val="none" w:sz="0" w:space="0"/>
            <w:bottom w:val="none" w:sz="0" w:space="0"/>
            <w:right w:val="none" w:sz="0" w:space="0"/>
          </w:pgBorders>
          <w:pgNumType w:fmt="upperRoman"/>
          <w:cols w:space="425" w:num="1"/>
          <w:formProt w:val="0"/>
          <w:docGrid w:linePitch="312" w:charSpace="0"/>
        </w:sectPr>
      </w:pPr>
      <w:bookmarkStart w:id="263" w:name="_GoBack"/>
      <w:bookmarkEnd w:id="263"/>
    </w:p>
    <w:bookmarkEnd w:id="31"/>
    <w:p w14:paraId="021F1085">
      <w:pPr>
        <w:spacing w:line="20" w:lineRule="exact"/>
        <w:jc w:val="center"/>
        <w:rPr>
          <w:rFonts w:hint="eastAsia" w:ascii="黑体" w:hAnsi="黑体" w:eastAsia="黑体"/>
          <w:sz w:val="32"/>
          <w:szCs w:val="32"/>
        </w:rPr>
      </w:pPr>
      <w:bookmarkStart w:id="32" w:name="BookMark4"/>
    </w:p>
    <w:p w14:paraId="58FA81F3">
      <w:pPr>
        <w:spacing w:line="20" w:lineRule="exact"/>
        <w:jc w:val="center"/>
        <w:rPr>
          <w:rFonts w:hint="eastAsia" w:ascii="黑体" w:hAnsi="黑体" w:eastAsia="黑体"/>
          <w:sz w:val="32"/>
          <w:szCs w:val="32"/>
        </w:rPr>
      </w:pPr>
    </w:p>
    <w:sdt>
      <w:sdtPr>
        <w:tag w:val="NEW_STAND_NAME"/>
        <w:id w:val="595910757"/>
        <w:lock w:val="sdtLocked"/>
        <w:placeholder>
          <w:docPart w:val="9B3BEDB4F2724F9D81F4444A5CCE266D"/>
        </w:placeholder>
      </w:sdtPr>
      <w:sdtContent>
        <w:p w14:paraId="1D58211E">
          <w:pPr>
            <w:pStyle w:val="178"/>
            <w:bidi w:val="0"/>
            <w:spacing w:before="4" w:beforeLines="1" w:after="687" w:afterLines="220"/>
            <w:rPr>
              <w:rFonts w:hint="eastAsia"/>
            </w:rPr>
          </w:pPr>
          <w:bookmarkStart w:id="33" w:name="NEW_STAND_NAME"/>
          <w:r>
            <w:rPr>
              <w:rFonts w:hint="eastAsia"/>
              <w:lang w:eastAsia="zh-CN"/>
            </w:rPr>
            <w:t>煤矿顺槽用破碎机刀齿堆焊工艺规范</w:t>
          </w:r>
        </w:p>
      </w:sdtContent>
    </w:sdt>
    <w:bookmarkEnd w:id="33"/>
    <w:p w14:paraId="58FB4D92">
      <w:pPr>
        <w:pStyle w:val="105"/>
        <w:bidi w:val="0"/>
      </w:pPr>
      <w:bookmarkStart w:id="34" w:name="_Toc31053"/>
      <w:bookmarkStart w:id="35" w:name="_Toc17349"/>
      <w:bookmarkStart w:id="36" w:name="_Toc7023"/>
      <w:bookmarkStart w:id="37" w:name="_Toc24884218"/>
      <w:bookmarkStart w:id="38" w:name="_Toc17233333"/>
      <w:bookmarkStart w:id="39" w:name="_Toc26986771"/>
      <w:bookmarkStart w:id="40" w:name="_Toc17233325"/>
      <w:bookmarkStart w:id="41" w:name="_Toc24884211"/>
      <w:bookmarkStart w:id="42" w:name="_Toc17311"/>
      <w:bookmarkStart w:id="43" w:name="_Toc26986530"/>
      <w:bookmarkStart w:id="44" w:name="_Toc22964"/>
      <w:bookmarkStart w:id="45" w:name="_Toc97192964"/>
      <w:bookmarkStart w:id="46" w:name="_Toc26648465"/>
      <w:bookmarkStart w:id="47" w:name="_Toc22726"/>
      <w:bookmarkStart w:id="48" w:name="_Toc8747"/>
      <w:bookmarkStart w:id="49" w:name="_Toc26718930"/>
      <w:bookmarkStart w:id="50" w:name="_Toc2110"/>
      <w:bookmarkStart w:id="51" w:name="_Toc5635"/>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37F9693">
      <w:pPr>
        <w:pStyle w:val="57"/>
        <w:ind w:firstLine="420"/>
        <w:rPr>
          <w:rFonts w:hint="eastAsia"/>
          <w:color w:val="auto"/>
          <w:highlight w:val="none"/>
        </w:rPr>
      </w:pPr>
      <w:bookmarkStart w:id="52" w:name="_Toc17233334"/>
      <w:bookmarkStart w:id="53" w:name="_Toc17233326"/>
      <w:bookmarkStart w:id="54" w:name="_Toc24884219"/>
      <w:bookmarkStart w:id="55" w:name="_Toc24884212"/>
      <w:bookmarkStart w:id="56" w:name="_Toc26648466"/>
      <w:r>
        <w:rPr>
          <w:rFonts w:hint="eastAsia"/>
          <w:color w:val="auto"/>
        </w:rPr>
        <w:t>本</w:t>
      </w:r>
      <w:r>
        <w:rPr>
          <w:rFonts w:hint="eastAsia"/>
          <w:color w:val="auto"/>
          <w:lang w:val="en-US" w:eastAsia="zh-CN"/>
        </w:rPr>
        <w:t>文件</w:t>
      </w:r>
      <w:r>
        <w:rPr>
          <w:rFonts w:hint="eastAsia"/>
          <w:color w:val="auto"/>
        </w:rPr>
        <w:t>规定了煤矿顺槽用破碎机刀齿（以下简称“刀齿”）堆焊相关术语定义、堆焊材料、堆焊设备</w:t>
      </w:r>
      <w:r>
        <w:rPr>
          <w:rFonts w:hint="eastAsia"/>
          <w:color w:val="auto"/>
          <w:highlight w:val="none"/>
        </w:rPr>
        <w:t>、堆焊</w:t>
      </w:r>
      <w:r>
        <w:rPr>
          <w:rFonts w:hint="eastAsia"/>
          <w:color w:val="auto"/>
          <w:highlight w:val="none"/>
          <w:lang w:val="en-US" w:eastAsia="zh-CN"/>
        </w:rPr>
        <w:t>技术要求、</w:t>
      </w:r>
      <w:r>
        <w:rPr>
          <w:rFonts w:hint="eastAsia"/>
          <w:color w:val="auto"/>
          <w:highlight w:val="none"/>
        </w:rPr>
        <w:t>工艺规程、质量检验方法。</w:t>
      </w:r>
    </w:p>
    <w:p w14:paraId="60DC6B44">
      <w:pPr>
        <w:pStyle w:val="57"/>
        <w:ind w:firstLine="420"/>
        <w:rPr>
          <w:rFonts w:hint="eastAsia"/>
          <w:color w:val="auto"/>
          <w:highlight w:val="none"/>
        </w:rPr>
      </w:pPr>
      <w:r>
        <w:rPr>
          <w:rFonts w:hint="eastAsia"/>
          <w:color w:val="auto"/>
          <w:highlight w:val="none"/>
        </w:rPr>
        <w:t>本</w:t>
      </w:r>
      <w:r>
        <w:rPr>
          <w:rFonts w:hint="eastAsia"/>
          <w:color w:val="auto"/>
          <w:highlight w:val="none"/>
          <w:lang w:val="en-US" w:eastAsia="zh-CN"/>
        </w:rPr>
        <w:t>文件</w:t>
      </w:r>
      <w:r>
        <w:rPr>
          <w:rFonts w:hint="eastAsia"/>
          <w:color w:val="auto"/>
          <w:highlight w:val="none"/>
        </w:rPr>
        <w:t>适用于煤矿顺槽用破碎机合金钢基体刀齿的堆焊</w:t>
      </w:r>
      <w:r>
        <w:rPr>
          <w:rFonts w:hint="eastAsia"/>
          <w:color w:val="auto"/>
          <w:highlight w:val="none"/>
          <w:lang w:val="en-US" w:eastAsia="zh-CN"/>
        </w:rPr>
        <w:t>层</w:t>
      </w:r>
      <w:r>
        <w:rPr>
          <w:rFonts w:hint="eastAsia"/>
          <w:color w:val="auto"/>
          <w:highlight w:val="none"/>
        </w:rPr>
        <w:t>工艺规范及质量检测。</w:t>
      </w:r>
    </w:p>
    <w:p w14:paraId="767F512F">
      <w:pPr>
        <w:pStyle w:val="105"/>
        <w:bidi w:val="0"/>
      </w:pPr>
      <w:bookmarkStart w:id="57" w:name="_Toc26718931"/>
      <w:bookmarkStart w:id="58" w:name="_Toc15456"/>
      <w:bookmarkStart w:id="59" w:name="_Toc1369"/>
      <w:bookmarkStart w:id="60" w:name="_Toc13887"/>
      <w:bookmarkStart w:id="61" w:name="_Toc32078"/>
      <w:bookmarkStart w:id="62" w:name="_Toc5333"/>
      <w:bookmarkStart w:id="63" w:name="_Toc26986772"/>
      <w:bookmarkStart w:id="64" w:name="_Toc26986531"/>
      <w:bookmarkStart w:id="65" w:name="_Toc28007"/>
      <w:bookmarkStart w:id="66" w:name="_Toc97192965"/>
      <w:bookmarkStart w:id="67" w:name="_Toc16218"/>
      <w:bookmarkStart w:id="68" w:name="_Toc12711"/>
      <w:bookmarkStart w:id="69" w:name="_Toc27618"/>
      <w:r>
        <w:rPr>
          <w:rFonts w:hint="eastAsia"/>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rPr>
        <w:id w:val="715848253"/>
        <w:placeholder>
          <w:docPart w:val="78956B8278AF41489B4C226600D2E8C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14:paraId="0D5A6A32">
          <w:pPr>
            <w:pStyle w:val="57"/>
            <w:ind w:firstLine="420"/>
            <w:rPr>
              <w:color w:val="auto"/>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w:t>
          </w:r>
          <w:r>
            <w:rPr>
              <w:rFonts w:hint="eastAsia"/>
              <w:color w:val="auto"/>
            </w:rPr>
            <w:t>件。</w:t>
          </w:r>
        </w:p>
      </w:sdtContent>
    </w:sdt>
    <w:p w14:paraId="4B3B7BB7">
      <w:pPr>
        <w:pStyle w:val="57"/>
        <w:ind w:firstLine="420"/>
        <w:rPr>
          <w:rFonts w:hint="eastAsia" w:ascii="宋体" w:hAnsi="宋体"/>
          <w:color w:val="auto"/>
        </w:rPr>
      </w:pPr>
      <w:r>
        <w:rPr>
          <w:rFonts w:hint="eastAsia" w:ascii="宋体" w:hAnsi="宋体"/>
          <w:color w:val="auto"/>
        </w:rPr>
        <w:t>GB/T 230.1</w:t>
      </w:r>
      <w:r>
        <w:rPr>
          <w:rFonts w:hint="eastAsia" w:ascii="宋体" w:hAnsi="宋体"/>
          <w:color w:val="auto"/>
          <w:lang w:val="en-US" w:eastAsia="zh-CN"/>
        </w:rPr>
        <w:t xml:space="preserve">  </w:t>
      </w:r>
      <w:r>
        <w:rPr>
          <w:rFonts w:hint="eastAsia" w:ascii="宋体" w:hAnsi="宋体"/>
          <w:color w:val="auto"/>
        </w:rPr>
        <w:t xml:space="preserve">金属材料 </w:t>
      </w:r>
      <w:r>
        <w:rPr>
          <w:rFonts w:hint="eastAsia" w:ascii="宋体" w:hAnsi="宋体"/>
          <w:color w:val="auto"/>
          <w:lang w:val="en-US" w:eastAsia="zh-CN"/>
        </w:rPr>
        <w:t xml:space="preserve"> </w:t>
      </w:r>
      <w:r>
        <w:rPr>
          <w:rFonts w:hint="eastAsia" w:ascii="宋体" w:hAnsi="宋体"/>
          <w:color w:val="auto"/>
        </w:rPr>
        <w:t xml:space="preserve">洛氏硬度试验 </w:t>
      </w:r>
      <w:r>
        <w:rPr>
          <w:rFonts w:hint="eastAsia" w:ascii="宋体" w:hAnsi="宋体"/>
          <w:color w:val="auto"/>
          <w:lang w:val="en-US" w:eastAsia="zh-CN"/>
        </w:rPr>
        <w:t xml:space="preserve"> </w:t>
      </w:r>
      <w:r>
        <w:rPr>
          <w:rFonts w:hint="eastAsia" w:ascii="宋体" w:hAnsi="宋体"/>
          <w:color w:val="auto"/>
        </w:rPr>
        <w:t>第1部分：试验方法</w:t>
      </w:r>
    </w:p>
    <w:p w14:paraId="3C38D23A">
      <w:pPr>
        <w:pStyle w:val="57"/>
        <w:ind w:firstLine="420"/>
        <w:rPr>
          <w:rFonts w:hint="default" w:ascii="宋体" w:hAnsi="宋体" w:eastAsia="宋体"/>
          <w:color w:val="auto"/>
          <w:lang w:val="en-US" w:eastAsia="zh-CN"/>
        </w:rPr>
      </w:pPr>
      <w:r>
        <w:rPr>
          <w:rFonts w:hint="eastAsia" w:ascii="宋体" w:hAnsi="宋体"/>
          <w:color w:val="auto"/>
        </w:rPr>
        <w:t>GB/T 984</w:t>
      </w:r>
      <w:r>
        <w:rPr>
          <w:rFonts w:hint="eastAsia" w:ascii="宋体" w:hAnsi="宋体"/>
          <w:color w:val="auto"/>
          <w:lang w:val="en-US" w:eastAsia="zh-CN"/>
        </w:rPr>
        <w:t xml:space="preserve">  堆焊焊条</w:t>
      </w:r>
    </w:p>
    <w:p w14:paraId="27642719">
      <w:pPr>
        <w:pStyle w:val="57"/>
        <w:ind w:firstLine="420"/>
        <w:rPr>
          <w:rFonts w:hint="eastAsia" w:ascii="宋体" w:hAnsi="宋体"/>
          <w:color w:val="auto"/>
        </w:rPr>
      </w:pPr>
      <w:r>
        <w:rPr>
          <w:rFonts w:hint="eastAsia" w:ascii="宋体" w:hAnsi="宋体"/>
          <w:color w:val="auto"/>
        </w:rPr>
        <w:t>GB/T 3375—1994</w:t>
      </w:r>
      <w:r>
        <w:rPr>
          <w:rFonts w:hint="eastAsia" w:ascii="宋体" w:hAnsi="宋体"/>
          <w:color w:val="auto"/>
          <w:lang w:val="en-US" w:eastAsia="zh-CN"/>
        </w:rPr>
        <w:t xml:space="preserve">  </w:t>
      </w:r>
      <w:r>
        <w:rPr>
          <w:rFonts w:hint="eastAsia" w:ascii="宋体" w:hAnsi="宋体"/>
          <w:color w:val="auto"/>
        </w:rPr>
        <w:t>焊接术语</w:t>
      </w:r>
    </w:p>
    <w:p w14:paraId="2426BA3B">
      <w:pPr>
        <w:pStyle w:val="57"/>
        <w:ind w:firstLine="420"/>
        <w:rPr>
          <w:rFonts w:hint="eastAsia" w:ascii="宋体" w:hAnsi="宋体"/>
          <w:color w:val="auto"/>
        </w:rPr>
      </w:pPr>
      <w:r>
        <w:rPr>
          <w:rFonts w:hint="eastAsia" w:ascii="宋体" w:hAnsi="宋体"/>
          <w:color w:val="auto"/>
        </w:rPr>
        <w:t>GB/T 3609.1</w:t>
      </w:r>
      <w:r>
        <w:rPr>
          <w:rFonts w:hint="eastAsia" w:ascii="宋体" w:hAnsi="宋体"/>
          <w:color w:val="auto"/>
          <w:lang w:val="en-US" w:eastAsia="zh-CN"/>
        </w:rPr>
        <w:t xml:space="preserve">  </w:t>
      </w:r>
      <w:r>
        <w:rPr>
          <w:rFonts w:hint="eastAsia" w:ascii="宋体" w:hAnsi="宋体"/>
          <w:color w:val="auto"/>
        </w:rPr>
        <w:t xml:space="preserve">职业眼面部防护 </w:t>
      </w:r>
      <w:r>
        <w:rPr>
          <w:rFonts w:hint="eastAsia" w:ascii="宋体" w:hAnsi="宋体"/>
          <w:color w:val="auto"/>
          <w:lang w:val="en-US" w:eastAsia="zh-CN"/>
        </w:rPr>
        <w:t xml:space="preserve"> </w:t>
      </w:r>
      <w:r>
        <w:rPr>
          <w:rFonts w:hint="eastAsia" w:ascii="宋体" w:hAnsi="宋体"/>
          <w:color w:val="auto"/>
        </w:rPr>
        <w:t xml:space="preserve">焊接防护 </w:t>
      </w:r>
      <w:r>
        <w:rPr>
          <w:rFonts w:hint="eastAsia" w:ascii="宋体" w:hAnsi="宋体"/>
          <w:color w:val="auto"/>
          <w:lang w:val="en-US" w:eastAsia="zh-CN"/>
        </w:rPr>
        <w:t xml:space="preserve"> </w:t>
      </w:r>
      <w:r>
        <w:rPr>
          <w:rFonts w:hint="eastAsia" w:ascii="宋体" w:hAnsi="宋体"/>
          <w:color w:val="auto"/>
        </w:rPr>
        <w:t>第1部分：焊接防护具</w:t>
      </w:r>
    </w:p>
    <w:p w14:paraId="63BDAB27">
      <w:pPr>
        <w:pStyle w:val="57"/>
        <w:ind w:firstLine="420"/>
        <w:rPr>
          <w:rFonts w:hint="eastAsia" w:ascii="宋体" w:hAnsi="宋体"/>
          <w:color w:val="auto"/>
        </w:rPr>
      </w:pPr>
      <w:r>
        <w:rPr>
          <w:rFonts w:hint="eastAsia" w:ascii="宋体" w:hAnsi="宋体"/>
          <w:color w:val="auto"/>
        </w:rPr>
        <w:t>GB/T 6417.1</w:t>
      </w:r>
      <w:r>
        <w:rPr>
          <w:rFonts w:hint="eastAsia" w:ascii="宋体" w:hAnsi="宋体"/>
          <w:color w:val="auto"/>
          <w:lang w:val="en-US" w:eastAsia="zh-CN"/>
        </w:rPr>
        <w:t xml:space="preserve">  </w:t>
      </w:r>
      <w:r>
        <w:rPr>
          <w:rFonts w:hint="eastAsia" w:ascii="宋体" w:hAnsi="宋体"/>
          <w:color w:val="auto"/>
        </w:rPr>
        <w:t>金属熔化焊接头缺欠分类及说明</w:t>
      </w:r>
    </w:p>
    <w:p w14:paraId="77EA8854">
      <w:pPr>
        <w:pStyle w:val="57"/>
        <w:ind w:firstLine="420"/>
        <w:rPr>
          <w:rFonts w:hint="eastAsia" w:ascii="宋体" w:hAnsi="宋体"/>
          <w:color w:val="auto"/>
        </w:rPr>
      </w:pPr>
      <w:r>
        <w:rPr>
          <w:rFonts w:hint="eastAsia" w:ascii="宋体" w:hAnsi="宋体"/>
          <w:color w:val="auto"/>
        </w:rPr>
        <w:t>GB/T 15579.1</w:t>
      </w:r>
      <w:r>
        <w:rPr>
          <w:rFonts w:hint="eastAsia" w:ascii="宋体" w:hAnsi="宋体"/>
          <w:color w:val="auto"/>
          <w:lang w:val="en-US" w:eastAsia="zh-CN"/>
        </w:rPr>
        <w:t xml:space="preserve">  </w:t>
      </w:r>
      <w:r>
        <w:rPr>
          <w:rFonts w:hint="eastAsia" w:ascii="宋体" w:hAnsi="宋体"/>
          <w:color w:val="auto"/>
        </w:rPr>
        <w:t xml:space="preserve">弧焊设备 </w:t>
      </w:r>
      <w:r>
        <w:rPr>
          <w:rFonts w:hint="eastAsia" w:ascii="宋体" w:hAnsi="宋体"/>
          <w:color w:val="auto"/>
          <w:lang w:val="en-US" w:eastAsia="zh-CN"/>
        </w:rPr>
        <w:t xml:space="preserve"> </w:t>
      </w:r>
      <w:r>
        <w:rPr>
          <w:rFonts w:hint="eastAsia" w:ascii="宋体" w:hAnsi="宋体"/>
          <w:color w:val="auto"/>
        </w:rPr>
        <w:t>第1部分：焊接电源</w:t>
      </w:r>
    </w:p>
    <w:p w14:paraId="620EA223">
      <w:pPr>
        <w:pStyle w:val="57"/>
        <w:ind w:firstLine="420"/>
        <w:rPr>
          <w:rFonts w:hint="eastAsia" w:ascii="宋体" w:hAnsi="宋体"/>
          <w:color w:val="auto"/>
        </w:rPr>
      </w:pPr>
      <w:r>
        <w:rPr>
          <w:rFonts w:hint="eastAsia" w:ascii="宋体" w:hAnsi="宋体"/>
          <w:color w:val="auto"/>
        </w:rPr>
        <w:t>GB/T 32259—2015</w:t>
      </w:r>
      <w:r>
        <w:rPr>
          <w:rFonts w:hint="eastAsia" w:ascii="宋体" w:hAnsi="宋体"/>
          <w:color w:val="auto"/>
          <w:lang w:val="en-US" w:eastAsia="zh-CN"/>
        </w:rPr>
        <w:t xml:space="preserve">  </w:t>
      </w:r>
      <w:r>
        <w:rPr>
          <w:rFonts w:hint="eastAsia" w:ascii="宋体" w:hAnsi="宋体"/>
          <w:color w:val="auto"/>
        </w:rPr>
        <w:fldChar w:fldCharType="begin"/>
      </w:r>
      <w:r>
        <w:rPr>
          <w:rFonts w:hint="eastAsia" w:ascii="宋体" w:hAnsi="宋体"/>
          <w:color w:val="auto"/>
        </w:rPr>
        <w:instrText xml:space="preserve"> HYPERLINK "https://std.samr.gov.cn/gb/search/gbDetailed?id=71F772D81003D3A7E05397BE0A0AB82A" \t "https://std.samr.gov.cn/search/stdPage?q=GB/_blank" </w:instrText>
      </w:r>
      <w:r>
        <w:rPr>
          <w:rFonts w:hint="eastAsia" w:ascii="宋体" w:hAnsi="宋体"/>
          <w:color w:val="auto"/>
        </w:rPr>
        <w:fldChar w:fldCharType="separate"/>
      </w:r>
      <w:r>
        <w:rPr>
          <w:rFonts w:hint="default" w:ascii="宋体" w:hAnsi="宋体"/>
          <w:color w:val="auto"/>
        </w:rPr>
        <w:t xml:space="preserve">焊缝无损检测 </w:t>
      </w:r>
      <w:r>
        <w:rPr>
          <w:rFonts w:hint="eastAsia" w:ascii="宋体" w:hAnsi="宋体"/>
          <w:color w:val="auto"/>
          <w:lang w:val="en-US" w:eastAsia="zh-CN"/>
        </w:rPr>
        <w:t xml:space="preserve"> </w:t>
      </w:r>
      <w:r>
        <w:rPr>
          <w:rFonts w:hint="default" w:ascii="宋体" w:hAnsi="宋体"/>
          <w:color w:val="auto"/>
        </w:rPr>
        <w:t>熔焊接头目视检测</w:t>
      </w:r>
      <w:r>
        <w:rPr>
          <w:rFonts w:hint="default" w:ascii="宋体" w:hAnsi="宋体"/>
          <w:color w:val="auto"/>
        </w:rPr>
        <w:fldChar w:fldCharType="end"/>
      </w:r>
    </w:p>
    <w:p w14:paraId="65D5CDF4">
      <w:pPr>
        <w:pStyle w:val="57"/>
        <w:ind w:firstLine="420"/>
        <w:rPr>
          <w:rFonts w:hint="eastAsia" w:ascii="宋体" w:hAnsi="宋体"/>
          <w:color w:val="auto"/>
        </w:rPr>
      </w:pPr>
      <w:r>
        <w:rPr>
          <w:rFonts w:hint="eastAsia" w:ascii="宋体" w:hAnsi="宋体"/>
          <w:color w:val="auto"/>
        </w:rPr>
        <w:t>JB/T 3223</w:t>
      </w:r>
      <w:r>
        <w:rPr>
          <w:rFonts w:hint="eastAsia" w:ascii="宋体" w:hAnsi="宋体"/>
          <w:color w:val="auto"/>
          <w:lang w:val="en-US" w:eastAsia="zh-CN"/>
        </w:rPr>
        <w:t xml:space="preserve">  </w:t>
      </w:r>
      <w:r>
        <w:rPr>
          <w:rFonts w:hint="eastAsia" w:ascii="宋体" w:hAnsi="宋体"/>
          <w:color w:val="auto"/>
        </w:rPr>
        <w:t>焊接材料质量管理规程</w:t>
      </w:r>
    </w:p>
    <w:p w14:paraId="557B722B">
      <w:pPr>
        <w:pStyle w:val="57"/>
        <w:ind w:firstLine="420"/>
        <w:rPr>
          <w:rFonts w:hint="eastAsia" w:ascii="宋体" w:hAnsi="宋体"/>
          <w:color w:val="auto"/>
        </w:rPr>
      </w:pPr>
      <w:r>
        <w:rPr>
          <w:rFonts w:hint="eastAsia" w:ascii="宋体" w:hAnsi="宋体"/>
          <w:color w:val="auto"/>
        </w:rPr>
        <w:t>JB/T 5065</w:t>
      </w:r>
      <w:r>
        <w:rPr>
          <w:rFonts w:hint="eastAsia" w:ascii="宋体" w:hAnsi="宋体"/>
          <w:color w:val="auto"/>
          <w:lang w:val="en-US" w:eastAsia="zh-CN"/>
        </w:rPr>
        <w:t xml:space="preserve">  </w:t>
      </w:r>
      <w:r>
        <w:rPr>
          <w:rFonts w:hint="eastAsia" w:ascii="宋体" w:hAnsi="宋体"/>
          <w:color w:val="auto"/>
        </w:rPr>
        <w:t xml:space="preserve">弧焊机器人 </w:t>
      </w:r>
      <w:r>
        <w:rPr>
          <w:rFonts w:hint="eastAsia" w:ascii="宋体" w:hAnsi="宋体"/>
          <w:color w:val="auto"/>
          <w:lang w:val="en-US" w:eastAsia="zh-CN"/>
        </w:rPr>
        <w:t xml:space="preserve"> </w:t>
      </w:r>
      <w:r>
        <w:rPr>
          <w:rFonts w:hint="eastAsia" w:ascii="宋体" w:hAnsi="宋体"/>
          <w:color w:val="auto"/>
        </w:rPr>
        <w:t>通用技术条件</w:t>
      </w:r>
    </w:p>
    <w:p w14:paraId="7F6C47E7">
      <w:pPr>
        <w:pStyle w:val="57"/>
        <w:ind w:left="420" w:leftChars="200" w:firstLine="0" w:firstLineChars="0"/>
        <w:rPr>
          <w:rFonts w:hint="eastAsia" w:ascii="宋体" w:hAnsi="宋体"/>
          <w:color w:val="auto"/>
        </w:rPr>
      </w:pPr>
      <w:r>
        <w:rPr>
          <w:rFonts w:hint="eastAsia" w:ascii="宋体" w:hAnsi="宋体"/>
          <w:color w:val="auto"/>
        </w:rPr>
        <w:t>JB/T 8748</w:t>
      </w:r>
      <w:r>
        <w:rPr>
          <w:rFonts w:hint="eastAsia" w:ascii="宋体" w:hAnsi="宋体"/>
          <w:color w:val="auto"/>
          <w:lang w:val="en-US" w:eastAsia="zh-CN"/>
        </w:rPr>
        <w:t xml:space="preserve">  </w:t>
      </w:r>
      <w:r>
        <w:rPr>
          <w:rFonts w:hint="eastAsia" w:ascii="宋体" w:hAnsi="宋体"/>
          <w:color w:val="auto"/>
        </w:rPr>
        <w:t>MIG/MAG弧焊机</w:t>
      </w:r>
    </w:p>
    <w:p w14:paraId="40EF840C">
      <w:pPr>
        <w:pStyle w:val="105"/>
        <w:bidi w:val="0"/>
      </w:pPr>
      <w:bookmarkStart w:id="70" w:name="_Toc24750"/>
      <w:bookmarkStart w:id="71" w:name="_Toc15489"/>
      <w:bookmarkStart w:id="72" w:name="_Toc12441"/>
      <w:bookmarkStart w:id="73" w:name="_Toc12260"/>
      <w:bookmarkStart w:id="74" w:name="_Toc97192966"/>
      <w:bookmarkStart w:id="75" w:name="_Toc29268"/>
      <w:bookmarkStart w:id="76" w:name="_Toc10286"/>
      <w:bookmarkStart w:id="77" w:name="_Toc25992"/>
      <w:bookmarkStart w:id="78" w:name="_Toc16011"/>
      <w:bookmarkStart w:id="79" w:name="_Toc19095"/>
      <w:r>
        <w:rPr>
          <w:rFonts w:hint="eastAsia"/>
        </w:rPr>
        <w:t>术语和定义</w:t>
      </w:r>
      <w:bookmarkEnd w:id="70"/>
      <w:bookmarkEnd w:id="71"/>
      <w:bookmarkEnd w:id="72"/>
      <w:bookmarkEnd w:id="73"/>
      <w:bookmarkEnd w:id="74"/>
      <w:bookmarkEnd w:id="75"/>
      <w:bookmarkEnd w:id="76"/>
      <w:bookmarkEnd w:id="77"/>
      <w:bookmarkEnd w:id="78"/>
      <w:bookmarkEnd w:id="79"/>
    </w:p>
    <w:sdt>
      <w:sdtPr>
        <w:id w:val="-1909835108"/>
        <w:placeholder>
          <w:docPart w:val="DD487E154D8B46B1811108614A11313A"/>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723387E">
          <w:pPr>
            <w:pStyle w:val="57"/>
            <w:ind w:firstLine="420"/>
            <w:rPr>
              <w:rFonts w:hint="eastAsia" w:eastAsia="宋体"/>
              <w:lang w:eastAsia="zh-CN"/>
            </w:rPr>
          </w:pPr>
          <w:bookmarkStart w:id="80" w:name="_Toc26986532"/>
          <w:bookmarkEnd w:id="80"/>
          <w:r>
            <w:rPr>
              <w:rFonts w:hint="eastAsia" w:ascii="宋体" w:hAnsi="宋体"/>
            </w:rPr>
            <w:t>GB/T 3375—1994、</w:t>
          </w:r>
          <w:r>
            <w:rPr>
              <w:rFonts w:ascii="宋体" w:hAnsi="宋体"/>
            </w:rPr>
            <w:t>界定的以及下列术语和定义适用于本文件。</w:t>
          </w:r>
        </w:p>
      </w:sdtContent>
    </w:sdt>
    <w:p w14:paraId="7088A391">
      <w:pPr>
        <w:pStyle w:val="224"/>
        <w:bidi w:val="0"/>
        <w:spacing w:after="0" w:afterLines="0"/>
        <w:ind w:left="420" w:hanging="420" w:hangingChars="200"/>
        <w:rPr>
          <w:rFonts w:hint="eastAsia" w:ascii="黑体" w:hAnsi="黑体" w:eastAsia="黑体" w:cs="黑体"/>
          <w:lang w:val="en-US" w:eastAsia="zh-CN"/>
        </w:rPr>
      </w:pPr>
      <w:bookmarkStart w:id="81" w:name="_Toc24183"/>
      <w:bookmarkEnd w:id="81"/>
      <w:bookmarkStart w:id="82" w:name="_Toc22008"/>
      <w:bookmarkEnd w:id="82"/>
      <w:bookmarkStart w:id="83" w:name="_Toc530"/>
      <w:bookmarkEnd w:id="83"/>
      <w:bookmarkStart w:id="84" w:name="_Toc10634"/>
      <w:bookmarkEnd w:id="84"/>
      <w:bookmarkStart w:id="85" w:name="_Toc20233"/>
      <w:bookmarkEnd w:id="85"/>
      <w:r>
        <w:rPr>
          <w:rFonts w:hint="eastAsia" w:ascii="黑体" w:hAnsi="黑体" w:eastAsia="黑体" w:cs="黑体"/>
          <w:lang w:val="en-US" w:eastAsia="zh-CN"/>
        </w:rPr>
        <w:br w:type="textWrapping"/>
      </w:r>
      <w:r>
        <w:rPr>
          <w:rFonts w:hint="eastAsia" w:ascii="黑体" w:hAnsi="黑体" w:eastAsia="黑体" w:cs="黑体"/>
          <w:color w:val="auto"/>
          <w:lang w:val="en-US" w:eastAsia="zh-CN"/>
        </w:rPr>
        <w:t xml:space="preserve">堆焊  </w:t>
      </w:r>
      <w:r>
        <w:rPr>
          <w:rFonts w:hint="eastAsia" w:ascii="Times New Roman" w:hAnsi="Times New Roman" w:eastAsia="黑体" w:cs="Times New Roman"/>
          <w:color w:val="auto"/>
          <w:lang w:val="en-US" w:eastAsia="zh-CN"/>
        </w:rPr>
        <w:t>surfacing</w:t>
      </w:r>
    </w:p>
    <w:p w14:paraId="26B8F95A">
      <w:pPr>
        <w:pStyle w:val="57"/>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为增大或恢复焊件尺寸，或使焊件表面获得具有特殊性能的熔敷金属而进行的焊接。</w:t>
      </w:r>
    </w:p>
    <w:p w14:paraId="7F3DD897">
      <w:pPr>
        <w:pStyle w:val="57"/>
        <w:ind w:firstLine="420"/>
        <w:rPr>
          <w:rFonts w:hint="eastAsia"/>
          <w:lang w:val="en-US" w:eastAsia="zh-CN"/>
        </w:rPr>
      </w:pPr>
      <w:r>
        <w:rPr>
          <w:rFonts w:hint="eastAsia" w:ascii="宋体" w:hAnsi="宋体"/>
          <w:color w:val="auto"/>
        </w:rPr>
        <w:t>[来源：GB/T 3375—1994,</w:t>
      </w:r>
      <w:r>
        <w:rPr>
          <w:rFonts w:hint="eastAsia" w:ascii="宋体" w:hAnsi="宋体"/>
          <w:color w:val="auto"/>
          <w:lang w:val="en-US" w:eastAsia="zh-CN"/>
        </w:rPr>
        <w:t>3</w:t>
      </w:r>
      <w:r>
        <w:rPr>
          <w:rFonts w:ascii="宋体" w:hAnsi="宋体"/>
          <w:color w:val="auto"/>
        </w:rPr>
        <w:t>.</w:t>
      </w:r>
      <w:r>
        <w:rPr>
          <w:rFonts w:hint="eastAsia" w:ascii="宋体" w:hAnsi="宋体"/>
          <w:color w:val="auto"/>
          <w:lang w:val="en-US" w:eastAsia="zh-CN"/>
        </w:rPr>
        <w:t>65</w:t>
      </w:r>
      <w:r>
        <w:rPr>
          <w:rFonts w:hint="eastAsia" w:ascii="宋体" w:hAnsi="宋体"/>
          <w:color w:val="auto"/>
        </w:rPr>
        <w:t>]</w:t>
      </w:r>
    </w:p>
    <w:p w14:paraId="393FD87A">
      <w:pPr>
        <w:pStyle w:val="224"/>
        <w:bidi w:val="0"/>
        <w:spacing w:after="0" w:afterLines="0"/>
        <w:ind w:left="420" w:hanging="420" w:hangingChars="200"/>
        <w:rPr>
          <w:rFonts w:hint="eastAsia" w:ascii="黑体" w:hAnsi="黑体" w:eastAsia="黑体" w:cs="Times New Roman"/>
          <w:lang w:val="en-US" w:eastAsia="zh-CN"/>
        </w:rPr>
      </w:pPr>
      <w:bookmarkStart w:id="86" w:name="_Toc5874"/>
      <w:bookmarkEnd w:id="86"/>
      <w:bookmarkStart w:id="87" w:name="_Toc25411"/>
      <w:bookmarkEnd w:id="87"/>
      <w:bookmarkStart w:id="88" w:name="_Toc12704"/>
      <w:bookmarkEnd w:id="88"/>
      <w:bookmarkStart w:id="89" w:name="_Toc3275"/>
      <w:bookmarkEnd w:id="89"/>
      <w:bookmarkStart w:id="90" w:name="_Toc15081"/>
      <w:bookmarkEnd w:id="90"/>
      <w:bookmarkStart w:id="91" w:name="_Toc9002"/>
      <w:bookmarkEnd w:id="91"/>
      <w:bookmarkStart w:id="92" w:name="_Toc22747"/>
      <w:bookmarkEnd w:id="92"/>
      <w:bookmarkStart w:id="93" w:name="_Toc31612"/>
      <w:bookmarkEnd w:id="93"/>
      <w:bookmarkStart w:id="94" w:name="_Toc11089"/>
      <w:bookmarkEnd w:id="94"/>
      <w:bookmarkStart w:id="95" w:name="_Toc2269"/>
      <w:bookmarkEnd w:id="95"/>
      <w:r>
        <w:rPr>
          <w:rFonts w:hint="eastAsia" w:ascii="黑体" w:hAnsi="黑体" w:eastAsia="黑体" w:cs="黑体"/>
          <w:lang w:val="en-US" w:eastAsia="zh-CN"/>
        </w:rPr>
        <w:br w:type="textWrapping"/>
      </w:r>
      <w:r>
        <w:rPr>
          <w:rFonts w:hint="eastAsia" w:ascii="黑体" w:hAnsi="黑体" w:eastAsia="黑体" w:cs="Times New Roman"/>
          <w:lang w:val="en-US" w:eastAsia="zh-CN"/>
        </w:rPr>
        <w:t xml:space="preserve">打底焊  </w:t>
      </w:r>
      <w:r>
        <w:rPr>
          <w:rFonts w:hint="eastAsia" w:ascii="Times New Roman" w:hAnsi="Times New Roman" w:eastAsia="黑体" w:cs="Times New Roman"/>
          <w:lang w:val="en-US" w:eastAsia="zh-CN"/>
        </w:rPr>
        <w:t>backing welding</w:t>
      </w:r>
    </w:p>
    <w:p w14:paraId="07BD6382">
      <w:pPr>
        <w:pStyle w:val="57"/>
        <w:ind w:firstLine="420"/>
        <w:rPr>
          <w:rFonts w:hint="eastAsia" w:ascii="宋体" w:hAnsi="宋体"/>
          <w:color w:val="auto"/>
          <w:lang w:val="en-US" w:eastAsia="zh-CN"/>
        </w:rPr>
      </w:pPr>
      <w:r>
        <w:rPr>
          <w:rFonts w:hint="eastAsia" w:ascii="宋体" w:hAnsi="宋体" w:eastAsia="宋体" w:cs="Times New Roman"/>
          <w:b w:val="0"/>
          <w:bCs w:val="0"/>
          <w:color w:val="auto"/>
          <w:kern w:val="2"/>
          <w:sz w:val="21"/>
          <w:szCs w:val="20"/>
          <w:lang w:val="en-US" w:eastAsia="zh-CN" w:bidi="ar-SA"/>
        </w:rPr>
        <w:t>为提高结合强度、防止裂纹，在基体表面熔敷过渡焊层的焊接。</w:t>
      </w:r>
    </w:p>
    <w:p w14:paraId="4927B506">
      <w:pPr>
        <w:pStyle w:val="57"/>
        <w:ind w:firstLine="420"/>
        <w:rPr>
          <w:rFonts w:hint="eastAsia" w:ascii="宋体" w:hAnsi="宋体"/>
          <w:color w:val="auto"/>
        </w:rPr>
      </w:pPr>
      <w:r>
        <w:rPr>
          <w:rFonts w:hint="eastAsia" w:ascii="宋体" w:hAnsi="宋体"/>
          <w:color w:val="auto"/>
        </w:rPr>
        <w:t>[来源：GB/T 3375—1994,</w:t>
      </w:r>
      <w:r>
        <w:rPr>
          <w:rFonts w:hint="eastAsia" w:ascii="宋体" w:hAnsi="宋体"/>
          <w:color w:val="auto"/>
          <w:lang w:val="en-US" w:eastAsia="zh-CN"/>
        </w:rPr>
        <w:t>3</w:t>
      </w:r>
      <w:r>
        <w:rPr>
          <w:rFonts w:ascii="宋体" w:hAnsi="宋体"/>
          <w:color w:val="auto"/>
        </w:rPr>
        <w:t>.</w:t>
      </w:r>
      <w:r>
        <w:rPr>
          <w:rFonts w:hint="eastAsia" w:ascii="宋体" w:hAnsi="宋体"/>
          <w:color w:val="auto"/>
          <w:lang w:val="en-US" w:eastAsia="zh-CN"/>
        </w:rPr>
        <w:t>67</w:t>
      </w:r>
      <w:r>
        <w:rPr>
          <w:rFonts w:hint="eastAsia" w:ascii="宋体" w:hAnsi="宋体"/>
          <w:color w:val="auto"/>
        </w:rPr>
        <w:t>]</w:t>
      </w:r>
    </w:p>
    <w:p w14:paraId="47701CA3">
      <w:pPr>
        <w:pStyle w:val="224"/>
        <w:bidi w:val="0"/>
        <w:spacing w:after="0" w:afterLines="0"/>
        <w:ind w:left="420" w:hanging="420" w:hangingChars="200"/>
        <w:rPr>
          <w:rFonts w:hint="eastAsia" w:ascii="黑体" w:hAnsi="黑体" w:eastAsia="黑体" w:cs="黑体"/>
          <w:lang w:eastAsia="zh-CN"/>
        </w:rPr>
      </w:pPr>
      <w:r>
        <w:rPr>
          <w:rFonts w:hint="eastAsia" w:ascii="黑体" w:hAnsi="黑体" w:eastAsia="黑体" w:cs="黑体"/>
          <w:lang w:eastAsia="zh-CN"/>
        </w:rPr>
        <w:br w:type="textWrapping"/>
      </w:r>
      <w:r>
        <w:rPr>
          <w:rFonts w:hint="eastAsia" w:ascii="黑体" w:hAnsi="黑体" w:eastAsia="黑体" w:cs="Times New Roman"/>
          <w:lang w:val="en-US" w:eastAsia="zh-CN"/>
        </w:rPr>
        <w:t xml:space="preserve">搭接率  </w:t>
      </w:r>
      <w:r>
        <w:rPr>
          <w:rFonts w:hint="eastAsia" w:ascii="Times New Roman" w:hAnsi="Times New Roman" w:eastAsia="黑体" w:cs="Times New Roman"/>
          <w:lang w:val="en-US" w:eastAsia="zh-CN"/>
        </w:rPr>
        <w:t>overlap ratio</w:t>
      </w:r>
    </w:p>
    <w:p w14:paraId="48CD958B">
      <w:pPr>
        <w:pStyle w:val="57"/>
        <w:ind w:firstLine="420"/>
        <w:rPr>
          <w:rFonts w:hint="eastAsia" w:ascii="宋体" w:hAnsi="宋体" w:eastAsia="宋体" w:cs="Times New Roman"/>
          <w:b w:val="0"/>
          <w:bCs w:val="0"/>
          <w:color w:val="auto"/>
          <w:kern w:val="2"/>
          <w:sz w:val="21"/>
          <w:szCs w:val="20"/>
          <w:lang w:val="en-US" w:eastAsia="zh-CN" w:bidi="ar-SA"/>
        </w:rPr>
      </w:pPr>
      <w:r>
        <w:rPr>
          <w:rFonts w:hint="eastAsia" w:ascii="宋体" w:hAnsi="宋体" w:eastAsia="宋体" w:cs="Times New Roman"/>
          <w:b w:val="0"/>
          <w:bCs w:val="0"/>
          <w:color w:val="auto"/>
          <w:kern w:val="2"/>
          <w:sz w:val="21"/>
          <w:szCs w:val="20"/>
          <w:lang w:val="en-US" w:eastAsia="zh-CN" w:bidi="ar-SA"/>
        </w:rPr>
        <w:t>相邻两道焊道相互重叠区域宽度占单道焊道总宽度的百分比。</w:t>
      </w:r>
    </w:p>
    <w:p w14:paraId="4AD0EBE1">
      <w:pPr>
        <w:pStyle w:val="224"/>
        <w:bidi w:val="0"/>
        <w:spacing w:after="0" w:afterLines="0"/>
        <w:ind w:left="420" w:hanging="420" w:hangingChars="200"/>
        <w:rPr>
          <w:rFonts w:hint="eastAsia" w:ascii="黑体" w:hAnsi="黑体" w:eastAsia="黑体" w:cs="黑体"/>
          <w:color w:val="auto"/>
          <w:lang w:val="en-US" w:eastAsia="zh-CN"/>
        </w:rPr>
      </w:pPr>
      <w:r>
        <w:rPr>
          <w:rFonts w:hint="eastAsia" w:ascii="黑体" w:hAnsi="黑体" w:eastAsia="黑体" w:cs="黑体"/>
          <w:color w:val="auto"/>
          <w:lang w:val="en-US" w:eastAsia="zh-CN"/>
        </w:rPr>
        <w:br w:type="textWrapping"/>
      </w:r>
      <w:r>
        <w:rPr>
          <w:rFonts w:hint="eastAsia" w:ascii="黑体" w:hAnsi="黑体" w:eastAsia="黑体" w:cs="Times New Roman"/>
          <w:color w:val="auto"/>
          <w:lang w:val="en-US" w:eastAsia="zh-CN"/>
        </w:rPr>
        <w:t xml:space="preserve">稀释率  </w:t>
      </w:r>
      <w:r>
        <w:rPr>
          <w:rFonts w:hint="eastAsia" w:ascii="Times New Roman" w:hAnsi="Times New Roman" w:eastAsia="黑体" w:cs="Times New Roman"/>
          <w:color w:val="auto"/>
          <w:lang w:val="en-US" w:eastAsia="zh-CN"/>
        </w:rPr>
        <w:t>dilution rate</w:t>
      </w:r>
    </w:p>
    <w:p w14:paraId="3511B85D">
      <w:pPr>
        <w:pStyle w:val="57"/>
        <w:ind w:firstLine="420"/>
        <w:rPr>
          <w:rFonts w:hint="eastAsia" w:ascii="宋体" w:hAnsi="宋体" w:eastAsia="宋体" w:cs="Times New Roman"/>
          <w:b w:val="0"/>
          <w:bCs w:val="0"/>
          <w:color w:val="auto"/>
          <w:kern w:val="2"/>
          <w:sz w:val="21"/>
          <w:szCs w:val="20"/>
          <w:lang w:val="en-US" w:eastAsia="zh-CN" w:bidi="ar-SA"/>
        </w:rPr>
      </w:pPr>
      <w:r>
        <w:rPr>
          <w:rFonts w:hint="eastAsia" w:ascii="宋体" w:hAnsi="宋体" w:eastAsia="宋体" w:cs="Times New Roman"/>
          <w:b w:val="0"/>
          <w:bCs w:val="0"/>
          <w:color w:val="auto"/>
          <w:kern w:val="2"/>
          <w:sz w:val="21"/>
          <w:szCs w:val="20"/>
          <w:lang w:val="en-US" w:eastAsia="zh-CN" w:bidi="ar-SA"/>
        </w:rPr>
        <w:t>堆焊过程中基体金属熔入堆焊层的质量或体积占比。</w:t>
      </w:r>
    </w:p>
    <w:p w14:paraId="5380C5AD">
      <w:pPr>
        <w:pStyle w:val="105"/>
        <w:bidi w:val="0"/>
        <w:rPr>
          <w:rFonts w:hint="eastAsia"/>
        </w:rPr>
      </w:pPr>
      <w:bookmarkStart w:id="96" w:name="_Toc17639"/>
      <w:bookmarkStart w:id="97" w:name="_Toc28872"/>
      <w:bookmarkStart w:id="98" w:name="_Toc28331"/>
      <w:bookmarkStart w:id="99" w:name="_Toc346"/>
      <w:bookmarkStart w:id="100" w:name="_Toc68"/>
      <w:bookmarkStart w:id="101" w:name="_Toc19030"/>
      <w:bookmarkStart w:id="102" w:name="_Toc6290"/>
      <w:bookmarkStart w:id="103" w:name="_Toc10337"/>
      <w:bookmarkStart w:id="104" w:name="_Toc28396"/>
      <w:r>
        <w:rPr>
          <w:rFonts w:hint="eastAsia"/>
        </w:rPr>
        <w:t>焊前准备</w:t>
      </w:r>
      <w:bookmarkEnd w:id="96"/>
      <w:bookmarkEnd w:id="97"/>
      <w:bookmarkEnd w:id="98"/>
      <w:bookmarkEnd w:id="99"/>
      <w:bookmarkEnd w:id="100"/>
      <w:bookmarkEnd w:id="101"/>
      <w:bookmarkEnd w:id="102"/>
      <w:bookmarkEnd w:id="103"/>
      <w:bookmarkEnd w:id="104"/>
    </w:p>
    <w:p w14:paraId="516860A9">
      <w:pPr>
        <w:pStyle w:val="106"/>
        <w:bidi w:val="0"/>
        <w:ind w:left="0" w:leftChars="0" w:firstLine="0" w:firstLineChars="0"/>
        <w:rPr>
          <w:rFonts w:hint="eastAsia"/>
        </w:rPr>
      </w:pPr>
      <w:bookmarkStart w:id="105" w:name="_Toc14240"/>
      <w:bookmarkStart w:id="106" w:name="_Toc2354"/>
      <w:bookmarkStart w:id="107" w:name="_Toc32542"/>
      <w:bookmarkStart w:id="108" w:name="_Toc12372"/>
      <w:bookmarkStart w:id="109" w:name="_Toc4979"/>
      <w:bookmarkStart w:id="110" w:name="_Toc12757"/>
      <w:bookmarkStart w:id="111" w:name="_Toc12247"/>
      <w:bookmarkStart w:id="112" w:name="_Toc24595"/>
      <w:bookmarkStart w:id="113" w:name="_Toc28994"/>
      <w:r>
        <w:rPr>
          <w:rFonts w:hint="eastAsia"/>
        </w:rPr>
        <w:t>人员要求</w:t>
      </w:r>
      <w:bookmarkEnd w:id="105"/>
      <w:bookmarkEnd w:id="106"/>
      <w:bookmarkEnd w:id="107"/>
      <w:bookmarkEnd w:id="108"/>
      <w:bookmarkEnd w:id="109"/>
      <w:bookmarkEnd w:id="110"/>
      <w:bookmarkEnd w:id="111"/>
      <w:bookmarkEnd w:id="112"/>
      <w:bookmarkEnd w:id="113"/>
    </w:p>
    <w:p w14:paraId="15C4E5A8">
      <w:pPr>
        <w:pStyle w:val="66"/>
        <w:bidi w:val="0"/>
        <w:ind w:left="0" w:leftChars="0" w:firstLine="0" w:firstLineChars="0"/>
        <w:rPr>
          <w:rFonts w:hint="eastAsia"/>
        </w:rPr>
      </w:pPr>
      <w:bookmarkStart w:id="114" w:name="_Toc6797"/>
      <w:r>
        <w:rPr>
          <w:rFonts w:hint="eastAsia"/>
          <w:lang w:val="en-US" w:eastAsia="zh-CN"/>
        </w:rPr>
        <w:t>技能要求</w:t>
      </w:r>
      <w:bookmarkEnd w:id="114"/>
    </w:p>
    <w:p w14:paraId="195E6F3C">
      <w:pPr>
        <w:pStyle w:val="166"/>
        <w:keepNext w:val="0"/>
        <w:keepLines w:val="0"/>
        <w:pageBreakBefore w:val="0"/>
        <w:widowControl w:val="0"/>
        <w:numPr>
          <w:ilvl w:val="3"/>
          <w:numId w:val="0"/>
        </w:numPr>
        <w:kinsoku/>
        <w:wordWrap/>
        <w:overflowPunct/>
        <w:topLinePunct w:val="0"/>
        <w:autoSpaceDE/>
        <w:autoSpaceDN/>
        <w:bidi w:val="0"/>
        <w:adjustRightInd/>
        <w:snapToGrid/>
        <w:spacing w:before="0" w:after="0"/>
        <w:ind w:leftChars="0" w:firstLine="420" w:firstLineChars="200"/>
        <w:textAlignment w:val="auto"/>
        <w:rPr>
          <w:rFonts w:hint="eastAsia" w:ascii="宋体" w:hAnsi="Times New Roman" w:eastAsia="宋体" w:cs="Times New Roman"/>
          <w:b w:val="0"/>
          <w:bCs w:val="0"/>
        </w:rPr>
      </w:pPr>
      <w:r>
        <w:rPr>
          <w:rFonts w:hint="eastAsia" w:ascii="宋体" w:hAnsi="Times New Roman" w:eastAsia="宋体" w:cs="Times New Roman"/>
          <w:b w:val="0"/>
          <w:bCs w:val="0"/>
        </w:rPr>
        <w:t>操作人员应经专项安全技术培训、考核合格，取得特种作业操作证，并熟练掌握各类堆焊设备操作及日常维护保养方法后，方可上岗。作业中应精准控制堆焊工艺参数，预防并识别裂纹、气孔、夹渣等焊接缺陷。</w:t>
      </w:r>
    </w:p>
    <w:p w14:paraId="01A1765D">
      <w:pPr>
        <w:pStyle w:val="66"/>
        <w:bidi w:val="0"/>
        <w:ind w:left="0" w:leftChars="0" w:firstLine="0" w:firstLineChars="0"/>
        <w:rPr>
          <w:rFonts w:hint="eastAsia"/>
          <w:lang w:val="en-US" w:eastAsia="zh-CN"/>
        </w:rPr>
      </w:pPr>
      <w:bookmarkStart w:id="115" w:name="_Toc19497"/>
      <w:r>
        <w:rPr>
          <w:rFonts w:hint="eastAsia"/>
          <w:lang w:val="en-US" w:eastAsia="zh-CN"/>
        </w:rPr>
        <w:t>安全防护</w:t>
      </w:r>
      <w:bookmarkEnd w:id="115"/>
    </w:p>
    <w:p w14:paraId="605DE9BD">
      <w:pPr>
        <w:pStyle w:val="57"/>
        <w:ind w:firstLine="420"/>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rPr>
        <w:t>作业全程应正确佩戴焊接面罩、焊接防护服、防护手套及其他必要的个体防护装备</w:t>
      </w:r>
      <w:r>
        <w:rPr>
          <w:rFonts w:hint="eastAsia" w:ascii="宋体" w:hAnsi="宋体" w:cs="宋体"/>
          <w:b w:val="0"/>
          <w:bCs w:val="0"/>
          <w:i w:val="0"/>
          <w:iCs w:val="0"/>
          <w:caps w:val="0"/>
          <w:color w:val="0F1115"/>
          <w:spacing w:val="0"/>
          <w:sz w:val="21"/>
          <w:szCs w:val="21"/>
          <w:shd w:val="clear" w:fill="FFFFFF"/>
          <w:lang w:val="en-US" w:eastAsia="zh-CN"/>
        </w:rPr>
        <w:t>,</w:t>
      </w:r>
      <w:r>
        <w:rPr>
          <w:rFonts w:hint="eastAsia" w:ascii="宋体" w:hAnsi="宋体" w:eastAsia="宋体" w:cs="宋体"/>
          <w:b w:val="0"/>
          <w:bCs w:val="0"/>
          <w:i w:val="0"/>
          <w:iCs w:val="0"/>
          <w:caps w:val="0"/>
          <w:color w:val="0F1115"/>
          <w:spacing w:val="0"/>
          <w:sz w:val="21"/>
          <w:szCs w:val="21"/>
          <w:shd w:val="clear" w:fill="FFFFFF"/>
        </w:rPr>
        <w:t>应满足GB/T 3609.1规定的焊接防护要求。</w:t>
      </w:r>
    </w:p>
    <w:p w14:paraId="69A99F38">
      <w:pPr>
        <w:pStyle w:val="106"/>
        <w:bidi w:val="0"/>
        <w:ind w:left="0" w:leftChars="0" w:firstLine="0" w:firstLineChars="0"/>
        <w:rPr>
          <w:rFonts w:hint="eastAsia"/>
          <w:lang w:val="en-US" w:eastAsia="zh-CN"/>
        </w:rPr>
      </w:pPr>
      <w:bookmarkStart w:id="116" w:name="_Toc16858"/>
      <w:bookmarkStart w:id="117" w:name="_Toc15805"/>
      <w:bookmarkStart w:id="118" w:name="_Toc32191"/>
      <w:bookmarkStart w:id="119" w:name="_Toc13247"/>
      <w:bookmarkStart w:id="120" w:name="_Toc20376"/>
      <w:bookmarkStart w:id="121" w:name="_Toc14946"/>
      <w:bookmarkStart w:id="122" w:name="_Toc7106"/>
      <w:bookmarkStart w:id="123" w:name="_Toc13206"/>
      <w:bookmarkStart w:id="124" w:name="_Toc7127"/>
      <w:r>
        <w:rPr>
          <w:rFonts w:hint="eastAsia"/>
          <w:lang w:val="en-US" w:eastAsia="zh-CN"/>
        </w:rPr>
        <w:t>设备要求</w:t>
      </w:r>
      <w:bookmarkEnd w:id="116"/>
      <w:bookmarkEnd w:id="117"/>
      <w:bookmarkEnd w:id="118"/>
      <w:bookmarkEnd w:id="119"/>
      <w:bookmarkEnd w:id="120"/>
      <w:bookmarkEnd w:id="121"/>
      <w:bookmarkEnd w:id="122"/>
      <w:bookmarkEnd w:id="123"/>
      <w:bookmarkEnd w:id="124"/>
    </w:p>
    <w:p w14:paraId="7FF8EC7D">
      <w:pPr>
        <w:pStyle w:val="66"/>
        <w:bidi w:val="0"/>
        <w:ind w:left="0" w:leftChars="0" w:firstLine="0" w:firstLineChars="0"/>
        <w:rPr>
          <w:rFonts w:hint="eastAsia"/>
          <w:lang w:val="en-US" w:eastAsia="zh-CN"/>
        </w:rPr>
      </w:pPr>
      <w:bookmarkStart w:id="125" w:name="_Toc16237"/>
      <w:r>
        <w:rPr>
          <w:rFonts w:hint="default"/>
          <w:lang w:val="en-US" w:eastAsia="zh-CN"/>
        </w:rPr>
        <w:t>一般要求</w:t>
      </w:r>
      <w:bookmarkEnd w:id="125"/>
    </w:p>
    <w:p w14:paraId="7FE9D342">
      <w:pPr>
        <w:pStyle w:val="57"/>
        <w:ind w:firstLine="420"/>
        <w:rPr>
          <w:rFonts w:hint="eastAsia" w:ascii="宋体" w:hAnsi="宋体" w:eastAsia="宋体" w:cs="宋体"/>
          <w:b w:val="0"/>
          <w:bCs w:val="0"/>
          <w:i w:val="0"/>
          <w:iCs w:val="0"/>
          <w:caps w:val="0"/>
          <w:color w:val="auto"/>
          <w:spacing w:val="0"/>
          <w:sz w:val="21"/>
          <w:szCs w:val="21"/>
          <w:shd w:val="clear" w:fill="FFFFFF"/>
          <w:lang w:val="en-US" w:eastAsia="zh-CN"/>
        </w:rPr>
      </w:pPr>
      <w:r>
        <w:rPr>
          <w:rFonts w:hint="default" w:ascii="宋体" w:hAnsi="宋体" w:eastAsia="宋体" w:cs="宋体"/>
          <w:b w:val="0"/>
          <w:bCs w:val="0"/>
          <w:i w:val="0"/>
          <w:iCs w:val="0"/>
          <w:caps w:val="0"/>
          <w:color w:val="auto"/>
          <w:spacing w:val="0"/>
          <w:sz w:val="21"/>
          <w:szCs w:val="21"/>
          <w:shd w:val="clear" w:fill="FFFFFF"/>
        </w:rPr>
        <w:t>刀齿的规则工作面宜采用熔化极气体保护焊</w:t>
      </w:r>
      <w:r>
        <w:rPr>
          <w:rFonts w:hint="eastAsia" w:ascii="宋体" w:hAnsi="宋体" w:cs="宋体"/>
          <w:b w:val="0"/>
          <w:bCs w:val="0"/>
          <w:i w:val="0"/>
          <w:iCs w:val="0"/>
          <w:caps w:val="0"/>
          <w:color w:val="auto"/>
          <w:spacing w:val="0"/>
          <w:sz w:val="21"/>
          <w:szCs w:val="21"/>
          <w:shd w:val="clear" w:fill="FFFFFF"/>
          <w:lang w:eastAsia="zh-CN"/>
        </w:rPr>
        <w:t>（</w:t>
      </w:r>
      <w:r>
        <w:rPr>
          <w:rFonts w:hint="eastAsia" w:ascii="宋体" w:hAnsi="宋体" w:cs="宋体"/>
          <w:b w:val="0"/>
          <w:bCs w:val="0"/>
          <w:i w:val="0"/>
          <w:iCs w:val="0"/>
          <w:caps w:val="0"/>
          <w:color w:val="auto"/>
          <w:spacing w:val="0"/>
          <w:sz w:val="21"/>
          <w:szCs w:val="21"/>
          <w:shd w:val="clear" w:fill="FFFFFF"/>
          <w:lang w:val="en-US" w:eastAsia="zh-CN"/>
        </w:rPr>
        <w:t>MAG</w:t>
      </w:r>
      <w:r>
        <w:rPr>
          <w:rFonts w:hint="eastAsia" w:ascii="宋体" w:hAnsi="宋体" w:cs="宋体"/>
          <w:b w:val="0"/>
          <w:bCs w:val="0"/>
          <w:i w:val="0"/>
          <w:iCs w:val="0"/>
          <w:caps w:val="0"/>
          <w:color w:val="auto"/>
          <w:spacing w:val="0"/>
          <w:sz w:val="21"/>
          <w:szCs w:val="21"/>
          <w:shd w:val="clear" w:fill="FFFFFF"/>
          <w:lang w:eastAsia="zh-CN"/>
        </w:rPr>
        <w:t>）</w:t>
      </w:r>
      <w:r>
        <w:rPr>
          <w:rFonts w:hint="default" w:ascii="宋体" w:hAnsi="宋体" w:eastAsia="宋体" w:cs="宋体"/>
          <w:b w:val="0"/>
          <w:bCs w:val="0"/>
          <w:i w:val="0"/>
          <w:iCs w:val="0"/>
          <w:caps w:val="0"/>
          <w:color w:val="auto"/>
          <w:spacing w:val="0"/>
          <w:sz w:val="21"/>
          <w:szCs w:val="21"/>
          <w:shd w:val="clear" w:fill="FFFFFF"/>
        </w:rPr>
        <w:t>机器人堆焊等自动堆焊方法，以保证堆焊层的均匀性和稳定性。复杂曲面或局部修复可选用手工电弧焊或熔化极气体保护焊等方法</w:t>
      </w:r>
      <w:r>
        <w:rPr>
          <w:rFonts w:hint="eastAsia" w:ascii="宋体" w:hAnsi="宋体" w:cs="宋体"/>
          <w:b w:val="0"/>
          <w:bCs w:val="0"/>
          <w:i w:val="0"/>
          <w:iCs w:val="0"/>
          <w:caps w:val="0"/>
          <w:color w:val="auto"/>
          <w:spacing w:val="0"/>
          <w:sz w:val="21"/>
          <w:szCs w:val="21"/>
          <w:shd w:val="clear" w:fill="FFFFFF"/>
          <w:lang w:eastAsia="zh-CN"/>
        </w:rPr>
        <w:t>；</w:t>
      </w:r>
      <w:r>
        <w:rPr>
          <w:rFonts w:hint="default" w:ascii="宋体" w:hAnsi="宋体" w:eastAsia="宋体" w:cs="宋体"/>
          <w:b w:val="0"/>
          <w:bCs w:val="0"/>
          <w:i w:val="0"/>
          <w:iCs w:val="0"/>
          <w:caps w:val="0"/>
          <w:color w:val="auto"/>
          <w:spacing w:val="0"/>
          <w:sz w:val="21"/>
          <w:szCs w:val="21"/>
          <w:shd w:val="clear" w:fill="FFFFFF"/>
        </w:rPr>
        <w:t>高耐磨工况可选用等离子粉末熔覆。</w:t>
      </w:r>
    </w:p>
    <w:p w14:paraId="755E550B">
      <w:pPr>
        <w:pStyle w:val="66"/>
        <w:bidi w:val="0"/>
        <w:ind w:left="0" w:leftChars="0" w:firstLine="0" w:firstLineChars="0"/>
        <w:rPr>
          <w:highlight w:val="none"/>
        </w:rPr>
      </w:pPr>
      <w:bookmarkStart w:id="126" w:name="_Toc28159"/>
      <w:r>
        <w:rPr>
          <w:rFonts w:hint="default"/>
          <w:highlight w:val="none"/>
        </w:rPr>
        <w:t>手工电弧焊设备</w:t>
      </w:r>
      <w:bookmarkEnd w:id="126"/>
    </w:p>
    <w:p w14:paraId="62C177A3">
      <w:pPr>
        <w:pStyle w:val="57"/>
        <w:ind w:firstLine="420"/>
        <w:rPr>
          <w:rFonts w:hint="default" w:ascii="宋体" w:hAnsi="宋体" w:eastAsia="宋体" w:cs="宋体"/>
          <w:b w:val="0"/>
          <w:bCs w:val="0"/>
          <w:i w:val="0"/>
          <w:iCs w:val="0"/>
          <w:caps w:val="0"/>
          <w:color w:val="auto"/>
          <w:spacing w:val="0"/>
          <w:sz w:val="21"/>
          <w:szCs w:val="21"/>
          <w:highlight w:val="none"/>
          <w:shd w:val="clear" w:fill="FFFFFF"/>
        </w:rPr>
      </w:pPr>
      <w:r>
        <w:rPr>
          <w:rFonts w:hint="default" w:ascii="宋体" w:hAnsi="宋体" w:eastAsia="宋体" w:cs="宋体"/>
          <w:b w:val="0"/>
          <w:bCs w:val="0"/>
          <w:i w:val="0"/>
          <w:iCs w:val="0"/>
          <w:caps w:val="0"/>
          <w:color w:val="auto"/>
          <w:spacing w:val="0"/>
          <w:sz w:val="21"/>
          <w:szCs w:val="21"/>
          <w:highlight w:val="none"/>
          <w:shd w:val="clear" w:fill="FFFFFF"/>
        </w:rPr>
        <w:t>手工电弧焊设备应符合以下要求：</w:t>
      </w:r>
    </w:p>
    <w:p w14:paraId="402A3F57">
      <w:pPr>
        <w:pStyle w:val="175"/>
        <w:bidi w:val="0"/>
        <w:ind w:left="851" w:leftChars="0" w:hanging="426" w:firstLineChars="0"/>
        <w:rPr>
          <w:rFonts w:hint="default"/>
          <w:color w:val="auto"/>
          <w:highlight w:val="none"/>
          <w:lang w:val="en-US" w:eastAsia="zh-CN"/>
        </w:rPr>
      </w:pPr>
      <w:r>
        <w:rPr>
          <w:rFonts w:hint="default"/>
          <w:color w:val="auto"/>
          <w:highlight w:val="none"/>
          <w:lang w:val="en-US" w:eastAsia="zh-CN"/>
        </w:rPr>
        <w:t>直流焊机的额定输入容量≥10</w:t>
      </w:r>
      <w:r>
        <w:rPr>
          <w:rFonts w:hint="eastAsia"/>
          <w:color w:val="auto"/>
          <w:highlight w:val="none"/>
          <w:lang w:val="en-US" w:eastAsia="zh-CN"/>
        </w:rPr>
        <w:t> </w:t>
      </w:r>
      <w:r>
        <w:rPr>
          <w:rFonts w:hint="default"/>
          <w:color w:val="auto"/>
          <w:highlight w:val="none"/>
          <w:lang w:val="en-US" w:eastAsia="zh-CN"/>
        </w:rPr>
        <w:t>kV·A，交流焊机额定输入容量≥20</w:t>
      </w:r>
      <w:r>
        <w:rPr>
          <w:rFonts w:hint="eastAsia"/>
          <w:color w:val="auto"/>
          <w:highlight w:val="none"/>
          <w:lang w:val="en-US" w:eastAsia="zh-CN"/>
        </w:rPr>
        <w:t> </w:t>
      </w:r>
      <w:r>
        <w:rPr>
          <w:rFonts w:hint="default"/>
          <w:color w:val="auto"/>
          <w:highlight w:val="none"/>
          <w:lang w:val="en-US" w:eastAsia="zh-CN"/>
        </w:rPr>
        <w:t>kV·A；</w:t>
      </w:r>
    </w:p>
    <w:p w14:paraId="7D151E69">
      <w:pPr>
        <w:pStyle w:val="175"/>
        <w:bidi w:val="0"/>
        <w:ind w:left="851" w:leftChars="0" w:hanging="426" w:firstLineChars="0"/>
        <w:rPr>
          <w:rFonts w:hint="default"/>
          <w:color w:val="auto"/>
          <w:highlight w:val="none"/>
          <w:lang w:val="en-US" w:eastAsia="zh-CN"/>
        </w:rPr>
      </w:pPr>
      <w:r>
        <w:rPr>
          <w:rFonts w:hint="default"/>
          <w:color w:val="auto"/>
          <w:highlight w:val="none"/>
        </w:rPr>
        <w:t>直流焊机采用直流反接法</w:t>
      </w:r>
      <w:r>
        <w:rPr>
          <w:rFonts w:hint="eastAsia"/>
          <w:strike w:val="0"/>
          <w:dstrike w:val="0"/>
          <w:color w:val="auto"/>
          <w:highlight w:val="none"/>
          <w:lang w:eastAsia="zh-CN"/>
        </w:rPr>
        <w:t>（</w:t>
      </w:r>
      <w:r>
        <w:rPr>
          <w:rFonts w:hint="eastAsia"/>
          <w:strike w:val="0"/>
          <w:dstrike w:val="0"/>
          <w:color w:val="auto"/>
          <w:highlight w:val="none"/>
          <w:lang w:val="en-US" w:eastAsia="zh-CN"/>
        </w:rPr>
        <w:t>正极性</w:t>
      </w:r>
      <w:r>
        <w:rPr>
          <w:rFonts w:hint="eastAsia"/>
          <w:strike w:val="0"/>
          <w:dstrike w:val="0"/>
          <w:color w:val="auto"/>
          <w:highlight w:val="none"/>
          <w:lang w:eastAsia="zh-CN"/>
        </w:rPr>
        <w:t>）</w:t>
      </w:r>
      <w:r>
        <w:rPr>
          <w:rFonts w:hint="default"/>
          <w:color w:val="auto"/>
          <w:highlight w:val="none"/>
        </w:rPr>
        <w:t>；</w:t>
      </w:r>
    </w:p>
    <w:p w14:paraId="6990CE12">
      <w:pPr>
        <w:pStyle w:val="175"/>
        <w:bidi w:val="0"/>
        <w:ind w:left="851" w:leftChars="0" w:hanging="426" w:firstLineChars="0"/>
        <w:rPr>
          <w:rFonts w:hint="default"/>
          <w:color w:val="auto"/>
          <w:highlight w:val="none"/>
        </w:rPr>
      </w:pPr>
      <w:r>
        <w:rPr>
          <w:rFonts w:hint="default"/>
          <w:color w:val="auto"/>
          <w:highlight w:val="none"/>
        </w:rPr>
        <w:t>交流焊机的空载电压值；</w:t>
      </w:r>
      <w:r>
        <w:rPr>
          <w:rFonts w:hint="eastAsia"/>
          <w:color w:val="auto"/>
          <w:highlight w:val="none"/>
          <w:lang w:val="en-US" w:eastAsia="zh-CN"/>
        </w:rPr>
        <w:t>根据工作条件情况</w:t>
      </w:r>
      <w:r>
        <w:rPr>
          <w:rFonts w:hint="default"/>
          <w:color w:val="auto"/>
          <w:highlight w:val="none"/>
        </w:rPr>
        <w:t>交流焊机的空载电压值</w:t>
      </w:r>
      <w:r>
        <w:rPr>
          <w:rFonts w:hint="eastAsia"/>
          <w:color w:val="auto"/>
          <w:highlight w:val="none"/>
          <w:lang w:val="en-US" w:eastAsia="zh-CN"/>
        </w:rPr>
        <w:t>满足GB 15579中规定；</w:t>
      </w:r>
    </w:p>
    <w:p w14:paraId="678B36AC">
      <w:pPr>
        <w:pStyle w:val="175"/>
        <w:bidi w:val="0"/>
        <w:ind w:left="851" w:leftChars="0" w:hanging="426" w:firstLineChars="0"/>
        <w:rPr>
          <w:rFonts w:hint="default"/>
          <w:color w:val="auto"/>
          <w:highlight w:val="none"/>
        </w:rPr>
      </w:pPr>
      <w:r>
        <w:rPr>
          <w:rFonts w:hint="default"/>
          <w:color w:val="auto"/>
          <w:highlight w:val="none"/>
        </w:rPr>
        <w:t>焊机的安全性能符合GB/T 15579.1的规定。</w:t>
      </w:r>
    </w:p>
    <w:p w14:paraId="73CA46B1">
      <w:pPr>
        <w:pStyle w:val="66"/>
        <w:bidi w:val="0"/>
        <w:ind w:left="0" w:leftChars="0" w:firstLine="0" w:firstLineChars="0"/>
        <w:rPr>
          <w:rFonts w:hint="default"/>
          <w:color w:val="auto"/>
          <w:highlight w:val="none"/>
        </w:rPr>
      </w:pPr>
      <w:bookmarkStart w:id="127" w:name="_Toc25254"/>
      <w:r>
        <w:rPr>
          <w:rFonts w:hint="eastAsia"/>
          <w:color w:val="auto"/>
          <w:highlight w:val="none"/>
          <w:lang w:val="en-US" w:eastAsia="zh-CN"/>
        </w:rPr>
        <w:t>手工</w:t>
      </w:r>
      <w:r>
        <w:rPr>
          <w:rFonts w:hint="default"/>
          <w:color w:val="auto"/>
          <w:highlight w:val="none"/>
        </w:rPr>
        <w:t>MAG焊设备</w:t>
      </w:r>
      <w:bookmarkEnd w:id="127"/>
    </w:p>
    <w:p w14:paraId="516349ED">
      <w:pPr>
        <w:pStyle w:val="57"/>
        <w:ind w:firstLine="420"/>
        <w:rPr>
          <w:rFonts w:hint="default"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cs="宋体"/>
          <w:b w:val="0"/>
          <w:bCs w:val="0"/>
          <w:i w:val="0"/>
          <w:iCs w:val="0"/>
          <w:caps w:val="0"/>
          <w:color w:val="0F1115"/>
          <w:spacing w:val="0"/>
          <w:sz w:val="21"/>
          <w:szCs w:val="21"/>
          <w:highlight w:val="none"/>
          <w:shd w:val="clear" w:fill="FFFFFF"/>
          <w:lang w:val="en-US" w:eastAsia="zh-CN"/>
        </w:rPr>
        <w:t>手工</w:t>
      </w:r>
      <w:r>
        <w:rPr>
          <w:rFonts w:hint="default" w:ascii="宋体" w:hAnsi="宋体" w:eastAsia="宋体" w:cs="宋体"/>
          <w:b w:val="0"/>
          <w:bCs w:val="0"/>
          <w:i w:val="0"/>
          <w:iCs w:val="0"/>
          <w:caps w:val="0"/>
          <w:color w:val="0F1115"/>
          <w:spacing w:val="0"/>
          <w:sz w:val="21"/>
          <w:szCs w:val="21"/>
          <w:highlight w:val="none"/>
          <w:shd w:val="clear" w:fill="FFFFFF"/>
          <w:lang w:val="en-US" w:eastAsia="zh-CN"/>
        </w:rPr>
        <w:t>MAG焊设备应符合以下要求：</w:t>
      </w:r>
    </w:p>
    <w:p w14:paraId="5E7B4F40">
      <w:pPr>
        <w:pStyle w:val="175"/>
        <w:numPr>
          <w:ilvl w:val="0"/>
          <w:numId w:val="32"/>
        </w:numPr>
        <w:bidi w:val="0"/>
        <w:ind w:left="851" w:leftChars="0" w:hanging="426" w:firstLineChars="0"/>
        <w:rPr>
          <w:rFonts w:hint="default"/>
          <w:highlight w:val="none"/>
        </w:rPr>
      </w:pPr>
      <w:r>
        <w:rPr>
          <w:rFonts w:hint="default"/>
          <w:highlight w:val="none"/>
          <w:lang w:val="en-US" w:eastAsia="zh-CN"/>
        </w:rPr>
        <w:t>选用具备脉冲波形控制功能的熔化极气体保护焊机；</w:t>
      </w:r>
    </w:p>
    <w:p w14:paraId="7EFFE775">
      <w:pPr>
        <w:pStyle w:val="175"/>
        <w:numPr>
          <w:ilvl w:val="0"/>
          <w:numId w:val="32"/>
        </w:numPr>
        <w:bidi w:val="0"/>
        <w:ind w:left="851" w:leftChars="0" w:hanging="426" w:firstLineChars="0"/>
        <w:rPr>
          <w:rFonts w:hint="default"/>
          <w:highlight w:val="none"/>
        </w:rPr>
      </w:pPr>
      <w:r>
        <w:rPr>
          <w:rFonts w:hint="default"/>
          <w:highlight w:val="none"/>
          <w:lang w:val="en-US" w:eastAsia="zh-CN"/>
        </w:rPr>
        <w:t>焊机具备过压、欠压、过流及过热自动保护功能；</w:t>
      </w:r>
    </w:p>
    <w:p w14:paraId="49DB89DD">
      <w:pPr>
        <w:pStyle w:val="175"/>
        <w:numPr>
          <w:ilvl w:val="0"/>
          <w:numId w:val="32"/>
        </w:numPr>
        <w:bidi w:val="0"/>
        <w:ind w:left="851" w:leftChars="0" w:hanging="426" w:firstLineChars="0"/>
        <w:rPr>
          <w:rFonts w:hint="default"/>
          <w:highlight w:val="none"/>
        </w:rPr>
      </w:pPr>
      <w:r>
        <w:rPr>
          <w:rFonts w:hint="eastAsia"/>
          <w:highlight w:val="none"/>
          <w:lang w:val="en-US" w:eastAsia="zh-CN"/>
        </w:rPr>
        <w:t>配备等速送丝机构，电弧长度在堆焊过程中自动调节。</w:t>
      </w:r>
    </w:p>
    <w:p w14:paraId="606FBFEE">
      <w:pPr>
        <w:pStyle w:val="175"/>
        <w:numPr>
          <w:ilvl w:val="0"/>
          <w:numId w:val="32"/>
        </w:numPr>
        <w:bidi w:val="0"/>
        <w:ind w:left="851" w:leftChars="0" w:hanging="426" w:firstLineChars="0"/>
        <w:rPr>
          <w:rFonts w:hint="default"/>
          <w:highlight w:val="none"/>
          <w:lang w:val="en-US" w:eastAsia="zh-CN"/>
        </w:rPr>
      </w:pPr>
      <w:r>
        <w:rPr>
          <w:rFonts w:hint="default"/>
          <w:highlight w:val="none"/>
          <w:lang w:val="en-US" w:eastAsia="zh-CN"/>
        </w:rPr>
        <w:t>焊机的技术条件宜参照JB/T 8748的规定执行。</w:t>
      </w:r>
    </w:p>
    <w:p w14:paraId="03D2A914">
      <w:pPr>
        <w:pStyle w:val="66"/>
        <w:bidi w:val="0"/>
        <w:ind w:left="0" w:leftChars="0" w:firstLine="0" w:firstLineChars="0"/>
        <w:rPr>
          <w:rFonts w:hint="default"/>
          <w:highlight w:val="none"/>
        </w:rPr>
      </w:pPr>
      <w:bookmarkStart w:id="128" w:name="_Toc25611"/>
      <w:r>
        <w:rPr>
          <w:rFonts w:hint="default"/>
          <w:highlight w:val="none"/>
        </w:rPr>
        <w:t>自动MAG焊设备</w:t>
      </w:r>
      <w:bookmarkEnd w:id="128"/>
    </w:p>
    <w:p w14:paraId="10390037">
      <w:pPr>
        <w:pStyle w:val="57"/>
        <w:ind w:firstLine="420"/>
        <w:rPr>
          <w:rFonts w:hint="default" w:ascii="宋体" w:hAnsi="宋体" w:cs="宋体"/>
          <w:b w:val="0"/>
          <w:bCs w:val="0"/>
          <w:i w:val="0"/>
          <w:iCs w:val="0"/>
          <w:caps w:val="0"/>
          <w:color w:val="0F1115"/>
          <w:spacing w:val="0"/>
          <w:sz w:val="21"/>
          <w:szCs w:val="21"/>
          <w:shd w:val="clear" w:fill="FFFFFF"/>
          <w:lang w:val="en-US" w:eastAsia="zh-CN"/>
        </w:rPr>
      </w:pPr>
      <w:r>
        <w:rPr>
          <w:rFonts w:hint="default" w:ascii="宋体" w:hAnsi="宋体" w:cs="宋体"/>
          <w:b w:val="0"/>
          <w:bCs w:val="0"/>
          <w:i w:val="0"/>
          <w:iCs w:val="0"/>
          <w:caps w:val="0"/>
          <w:color w:val="0F1115"/>
          <w:spacing w:val="0"/>
          <w:sz w:val="21"/>
          <w:szCs w:val="21"/>
          <w:shd w:val="clear" w:fill="FFFFFF"/>
          <w:lang w:val="en-US" w:eastAsia="zh-CN"/>
        </w:rPr>
        <w:t>自动MAG焊设备应符合以下要求：</w:t>
      </w:r>
    </w:p>
    <w:p w14:paraId="161D0D22">
      <w:pPr>
        <w:pStyle w:val="175"/>
        <w:numPr>
          <w:ilvl w:val="0"/>
          <w:numId w:val="33"/>
        </w:numPr>
        <w:bidi w:val="0"/>
        <w:ind w:left="851" w:leftChars="0" w:hanging="426" w:firstLineChars="0"/>
        <w:rPr>
          <w:rFonts w:hint="default"/>
        </w:rPr>
      </w:pPr>
      <w:r>
        <w:rPr>
          <w:rFonts w:hint="default"/>
          <w:lang w:val="en-US" w:eastAsia="zh-CN"/>
        </w:rPr>
        <w:t>采用数控焊接专机或焊接机器人系统；</w:t>
      </w:r>
    </w:p>
    <w:p w14:paraId="20E3F29C">
      <w:pPr>
        <w:pStyle w:val="175"/>
        <w:numPr>
          <w:ilvl w:val="0"/>
          <w:numId w:val="33"/>
        </w:numPr>
        <w:bidi w:val="0"/>
        <w:ind w:left="851" w:leftChars="0" w:hanging="426" w:firstLineChars="0"/>
        <w:rPr>
          <w:rFonts w:hint="default"/>
        </w:rPr>
      </w:pPr>
      <w:r>
        <w:rPr>
          <w:rFonts w:hint="default"/>
        </w:rPr>
        <w:t>设备具备多轴联动功能，能自动控制焊接轨迹；</w:t>
      </w:r>
    </w:p>
    <w:p w14:paraId="4CA4CDF3">
      <w:pPr>
        <w:pStyle w:val="175"/>
        <w:numPr>
          <w:ilvl w:val="0"/>
          <w:numId w:val="33"/>
        </w:numPr>
        <w:bidi w:val="0"/>
        <w:ind w:left="851" w:leftChars="0" w:hanging="426" w:firstLineChars="0"/>
        <w:rPr>
          <w:rFonts w:hint="default"/>
        </w:rPr>
      </w:pPr>
      <w:r>
        <w:rPr>
          <w:rFonts w:hint="default"/>
        </w:rPr>
        <w:t>配备焊接参数实时监控及数据存储记录系统；</w:t>
      </w:r>
    </w:p>
    <w:p w14:paraId="59FD1423">
      <w:pPr>
        <w:pStyle w:val="175"/>
        <w:numPr>
          <w:ilvl w:val="0"/>
          <w:numId w:val="33"/>
        </w:numPr>
        <w:bidi w:val="0"/>
        <w:ind w:left="851" w:leftChars="0" w:hanging="426" w:firstLineChars="0"/>
        <w:rPr>
          <w:rFonts w:hint="default"/>
        </w:rPr>
      </w:pPr>
      <w:r>
        <w:rPr>
          <w:rFonts w:hint="default"/>
        </w:rPr>
        <w:t>焊接电源、送丝机构及焊枪应相互匹配，符合设备制造商规定的配套要求；</w:t>
      </w:r>
    </w:p>
    <w:p w14:paraId="212426F5">
      <w:pPr>
        <w:pStyle w:val="175"/>
        <w:numPr>
          <w:ilvl w:val="0"/>
          <w:numId w:val="33"/>
        </w:numPr>
        <w:bidi w:val="0"/>
        <w:ind w:left="851" w:leftChars="0" w:hanging="426" w:firstLineChars="0"/>
        <w:rPr>
          <w:rFonts w:hint="default"/>
        </w:rPr>
      </w:pPr>
      <w:r>
        <w:rPr>
          <w:rFonts w:hint="default"/>
        </w:rPr>
        <w:t>弧焊机器人的性能要</w:t>
      </w:r>
      <w:r>
        <w:rPr>
          <w:rFonts w:hint="default"/>
          <w:color w:val="auto"/>
        </w:rPr>
        <w:t>求宜参照</w:t>
      </w:r>
      <w:r>
        <w:rPr>
          <w:rFonts w:hint="default"/>
        </w:rPr>
        <w:t>JB/T 5065的规定执行。</w:t>
      </w:r>
    </w:p>
    <w:p w14:paraId="044314EB">
      <w:pPr>
        <w:pStyle w:val="66"/>
        <w:bidi w:val="0"/>
        <w:ind w:left="0" w:leftChars="0" w:firstLine="0" w:firstLineChars="0"/>
        <w:rPr>
          <w:rFonts w:hint="default"/>
        </w:rPr>
      </w:pPr>
      <w:bookmarkStart w:id="129" w:name="_Toc24707"/>
      <w:r>
        <w:rPr>
          <w:rFonts w:hint="default"/>
        </w:rPr>
        <w:t>等离子熔覆设备</w:t>
      </w:r>
      <w:bookmarkEnd w:id="129"/>
    </w:p>
    <w:p w14:paraId="5038BF9F">
      <w:pPr>
        <w:pStyle w:val="57"/>
        <w:ind w:firstLine="420"/>
        <w:rPr>
          <w:rFonts w:hint="default" w:ascii="宋体" w:hAnsi="宋体" w:cs="宋体"/>
          <w:b w:val="0"/>
          <w:bCs w:val="0"/>
          <w:i w:val="0"/>
          <w:iCs w:val="0"/>
          <w:caps w:val="0"/>
          <w:color w:val="0F1115"/>
          <w:spacing w:val="0"/>
          <w:sz w:val="21"/>
          <w:szCs w:val="21"/>
          <w:shd w:val="clear" w:fill="FFFFFF"/>
          <w:lang w:val="en-US" w:eastAsia="zh-CN"/>
        </w:rPr>
      </w:pPr>
      <w:r>
        <w:rPr>
          <w:rFonts w:hint="default" w:ascii="宋体" w:hAnsi="宋体" w:cs="宋体"/>
          <w:b w:val="0"/>
          <w:bCs w:val="0"/>
          <w:i w:val="0"/>
          <w:iCs w:val="0"/>
          <w:caps w:val="0"/>
          <w:color w:val="0F1115"/>
          <w:spacing w:val="0"/>
          <w:sz w:val="21"/>
          <w:szCs w:val="21"/>
          <w:shd w:val="clear" w:fill="FFFFFF"/>
          <w:lang w:val="en-US" w:eastAsia="zh-CN"/>
        </w:rPr>
        <w:t>等离子熔覆设备应符合以下要求：</w:t>
      </w:r>
    </w:p>
    <w:p w14:paraId="2127CB56">
      <w:pPr>
        <w:pStyle w:val="175"/>
        <w:numPr>
          <w:ilvl w:val="0"/>
          <w:numId w:val="34"/>
        </w:numPr>
        <w:bidi w:val="0"/>
        <w:ind w:left="851" w:leftChars="0" w:hanging="426" w:firstLineChars="0"/>
        <w:rPr>
          <w:rFonts w:hint="default"/>
        </w:rPr>
      </w:pPr>
      <w:r>
        <w:rPr>
          <w:rFonts w:hint="default"/>
          <w:lang w:val="en-US" w:eastAsia="zh-CN"/>
        </w:rPr>
        <w:t>选用IGBT软开关等离子熔覆电源；</w:t>
      </w:r>
    </w:p>
    <w:p w14:paraId="611720F3">
      <w:pPr>
        <w:pStyle w:val="175"/>
        <w:numPr>
          <w:ilvl w:val="0"/>
          <w:numId w:val="34"/>
        </w:numPr>
        <w:bidi w:val="0"/>
        <w:ind w:left="851" w:leftChars="0" w:hanging="426" w:firstLineChars="0"/>
        <w:rPr>
          <w:rFonts w:hint="default"/>
        </w:rPr>
      </w:pPr>
      <w:r>
        <w:rPr>
          <w:rFonts w:hint="default"/>
        </w:rPr>
        <w:t>成套配置等离子焊枪、送粉器、循环冷却系统及整机控制系统；</w:t>
      </w:r>
    </w:p>
    <w:p w14:paraId="1D919217">
      <w:pPr>
        <w:pStyle w:val="175"/>
        <w:numPr>
          <w:ilvl w:val="0"/>
          <w:numId w:val="34"/>
        </w:numPr>
        <w:bidi w:val="0"/>
        <w:ind w:left="851" w:leftChars="0" w:hanging="426" w:firstLineChars="0"/>
        <w:rPr>
          <w:rFonts w:hint="default"/>
        </w:rPr>
      </w:pPr>
      <w:r>
        <w:rPr>
          <w:rFonts w:hint="default"/>
        </w:rPr>
        <w:t>送粉器适用于铁基、镍基、钴基等合金粉末的输送，送粉量应可调；</w:t>
      </w:r>
    </w:p>
    <w:p w14:paraId="75271B77">
      <w:pPr>
        <w:pStyle w:val="175"/>
        <w:numPr>
          <w:ilvl w:val="0"/>
          <w:numId w:val="34"/>
        </w:numPr>
        <w:bidi w:val="0"/>
        <w:ind w:left="851" w:leftChars="0" w:hanging="426" w:firstLineChars="0"/>
        <w:rPr>
          <w:rFonts w:hint="default"/>
        </w:rPr>
      </w:pPr>
      <w:r>
        <w:rPr>
          <w:rFonts w:hint="default"/>
        </w:rPr>
        <w:t>电源的安全性能符合GB/T 15579.1的规定。</w:t>
      </w:r>
    </w:p>
    <w:p w14:paraId="0A504CFA">
      <w:pPr>
        <w:pStyle w:val="106"/>
        <w:bidi w:val="0"/>
        <w:ind w:left="0" w:leftChars="0" w:firstLine="0" w:firstLineChars="0"/>
      </w:pPr>
      <w:bookmarkStart w:id="130" w:name="_Toc15931"/>
      <w:bookmarkStart w:id="131" w:name="_Toc9796"/>
      <w:bookmarkStart w:id="132" w:name="_Toc26790"/>
      <w:bookmarkStart w:id="133" w:name="_Toc13160"/>
      <w:bookmarkStart w:id="134" w:name="_Toc19729"/>
      <w:bookmarkStart w:id="135" w:name="_Toc15205"/>
      <w:bookmarkStart w:id="136" w:name="_Toc30790"/>
      <w:bookmarkStart w:id="137" w:name="_Toc4973"/>
      <w:bookmarkStart w:id="138" w:name="_Toc9541"/>
      <w:r>
        <w:rPr>
          <w:rFonts w:hint="eastAsia"/>
          <w:lang w:val="en-US" w:eastAsia="zh-CN"/>
        </w:rPr>
        <w:t>基体与堆焊</w:t>
      </w:r>
      <w:r>
        <w:t>材料要求</w:t>
      </w:r>
      <w:bookmarkEnd w:id="130"/>
      <w:bookmarkEnd w:id="131"/>
      <w:bookmarkEnd w:id="132"/>
      <w:bookmarkEnd w:id="133"/>
      <w:bookmarkEnd w:id="134"/>
      <w:bookmarkEnd w:id="135"/>
      <w:bookmarkEnd w:id="136"/>
      <w:bookmarkEnd w:id="137"/>
      <w:bookmarkEnd w:id="138"/>
    </w:p>
    <w:p w14:paraId="0B95017C">
      <w:pPr>
        <w:pStyle w:val="66"/>
        <w:bidi w:val="0"/>
        <w:ind w:left="0" w:leftChars="0" w:firstLine="0" w:firstLineChars="0"/>
      </w:pPr>
      <w:bookmarkStart w:id="139" w:name="_Toc13407"/>
      <w:bookmarkStart w:id="140" w:name="_Toc30131"/>
      <w:r>
        <w:t>刀齿基体</w:t>
      </w:r>
      <w:bookmarkEnd w:id="139"/>
    </w:p>
    <w:p w14:paraId="6797ECA3">
      <w:pPr>
        <w:pStyle w:val="95"/>
        <w:bidi w:val="0"/>
        <w:ind w:left="0" w:leftChars="0" w:firstLine="0" w:firstLineChars="0"/>
        <w:rPr>
          <w:rFonts w:hint="default"/>
        </w:rPr>
      </w:pPr>
      <w:r>
        <w:rPr>
          <w:rFonts w:hint="default"/>
        </w:rPr>
        <w:t>新刀齿</w:t>
      </w:r>
    </w:p>
    <w:p w14:paraId="6D620F1C">
      <w:pPr>
        <w:pStyle w:val="57"/>
        <w:rPr>
          <w:rFonts w:hint="default" w:ascii="宋体" w:hAnsi="Times New Roman" w:eastAsia="宋体" w:cs="Times New Roman"/>
          <w:sz w:val="21"/>
          <w:lang w:val="en-US" w:eastAsia="zh-CN" w:bidi="ar-SA"/>
        </w:rPr>
      </w:pPr>
      <w:r>
        <w:rPr>
          <w:rFonts w:hint="default" w:ascii="宋体" w:hAnsi="Times New Roman" w:eastAsia="宋体" w:cs="Times New Roman"/>
          <w:sz w:val="21"/>
          <w:lang w:val="en-US" w:eastAsia="zh-CN" w:bidi="ar-SA"/>
        </w:rPr>
        <w:t>新刀齿在堆焊前应进行</w:t>
      </w:r>
      <w:r>
        <w:rPr>
          <w:rFonts w:hint="eastAsia" w:ascii="宋体" w:cs="Times New Roman"/>
          <w:sz w:val="21"/>
          <w:lang w:val="en-US" w:eastAsia="zh-CN" w:bidi="ar-SA"/>
        </w:rPr>
        <w:t>焊前清理</w:t>
      </w:r>
      <w:r>
        <w:rPr>
          <w:rFonts w:hint="default" w:ascii="宋体" w:hAnsi="Times New Roman" w:eastAsia="宋体" w:cs="Times New Roman"/>
          <w:sz w:val="21"/>
          <w:lang w:val="en-US" w:eastAsia="zh-CN" w:bidi="ar-SA"/>
        </w:rPr>
        <w:t>，清除油污、锈蚀及氧化物。</w:t>
      </w:r>
    </w:p>
    <w:p w14:paraId="60E7BF45">
      <w:pPr>
        <w:pStyle w:val="95"/>
        <w:bidi w:val="0"/>
        <w:ind w:left="0" w:leftChars="0" w:firstLine="0" w:firstLineChars="0"/>
        <w:rPr>
          <w:rFonts w:hint="default"/>
        </w:rPr>
      </w:pPr>
      <w:r>
        <w:rPr>
          <w:rFonts w:hint="default"/>
        </w:rPr>
        <w:t>待修复刀齿</w:t>
      </w:r>
    </w:p>
    <w:p w14:paraId="354FAD85">
      <w:pPr>
        <w:pStyle w:val="57"/>
        <w:rPr>
          <w:rFonts w:hint="eastAsia" w:ascii="宋体" w:hAnsi="Times New Roman" w:eastAsia="宋体" w:cs="Times New Roman"/>
          <w:color w:val="auto"/>
          <w:sz w:val="21"/>
          <w:lang w:val="en-US" w:eastAsia="zh-CN" w:bidi="ar-SA"/>
        </w:rPr>
      </w:pPr>
      <w:r>
        <w:rPr>
          <w:rFonts w:ascii="宋体" w:hAnsi="Times New Roman" w:eastAsia="宋体" w:cs="Times New Roman"/>
          <w:color w:val="auto"/>
          <w:sz w:val="21"/>
          <w:lang w:val="en-US" w:eastAsia="zh-CN" w:bidi="ar-SA"/>
        </w:rPr>
        <w:t>待修复刀齿堆焊前处理遵循以下流程</w:t>
      </w:r>
      <w:r>
        <w:rPr>
          <w:rFonts w:hint="eastAsia" w:ascii="宋体" w:cs="Times New Roman"/>
          <w:color w:val="auto"/>
          <w:sz w:val="21"/>
          <w:lang w:val="en-US" w:eastAsia="zh-CN" w:bidi="ar-SA"/>
        </w:rPr>
        <w:t>：</w:t>
      </w:r>
    </w:p>
    <w:p w14:paraId="7E4EC275">
      <w:pPr>
        <w:pStyle w:val="175"/>
        <w:numPr>
          <w:ilvl w:val="0"/>
          <w:numId w:val="35"/>
        </w:numPr>
        <w:bidi w:val="0"/>
        <w:ind w:left="851" w:leftChars="0" w:hanging="426" w:firstLineChars="0"/>
        <w:rPr>
          <w:rFonts w:hint="eastAsia" w:ascii="宋体" w:hAnsi="宋体" w:eastAsia="宋体" w:cs="宋体"/>
          <w:b w:val="0"/>
          <w:bCs w:val="0"/>
          <w:i w:val="0"/>
          <w:iCs w:val="0"/>
          <w:caps w:val="0"/>
          <w:color w:val="0F1115"/>
          <w:spacing w:val="0"/>
          <w:sz w:val="21"/>
          <w:szCs w:val="21"/>
        </w:rPr>
      </w:pPr>
      <w:r>
        <w:rPr>
          <w:rFonts w:hint="eastAsia" w:ascii="宋体" w:hAnsi="宋体" w:eastAsia="宋体" w:cs="宋体"/>
          <w:b w:val="0"/>
          <w:bCs w:val="0"/>
          <w:sz w:val="21"/>
          <w:szCs w:val="21"/>
        </w:rPr>
        <w:t>清洗：清除煤泥、油污、锈蚀等附着物，露出完整金属光泽；</w:t>
      </w:r>
    </w:p>
    <w:p w14:paraId="043CCA73">
      <w:pPr>
        <w:pStyle w:val="175"/>
        <w:numPr>
          <w:ilvl w:val="0"/>
          <w:numId w:val="35"/>
        </w:numPr>
        <w:bidi w:val="0"/>
        <w:ind w:left="851" w:leftChars="0" w:hanging="426" w:firstLineChars="0"/>
        <w:rPr>
          <w:rFonts w:hint="eastAsia" w:ascii="宋体" w:hAnsi="宋体" w:eastAsia="宋体" w:cs="宋体"/>
          <w:b w:val="0"/>
          <w:bCs w:val="0"/>
          <w:i w:val="0"/>
          <w:iCs w:val="0"/>
          <w:caps w:val="0"/>
          <w:color w:val="0F1115"/>
          <w:spacing w:val="0"/>
          <w:sz w:val="21"/>
          <w:szCs w:val="21"/>
        </w:rPr>
      </w:pPr>
      <w:r>
        <w:rPr>
          <w:rFonts w:hint="eastAsia" w:ascii="宋体" w:hAnsi="宋体" w:eastAsia="宋体" w:cs="宋体"/>
          <w:b w:val="0"/>
          <w:bCs w:val="0"/>
          <w:i w:val="0"/>
          <w:iCs w:val="0"/>
          <w:caps w:val="0"/>
          <w:color w:val="0F1115"/>
          <w:spacing w:val="0"/>
          <w:sz w:val="21"/>
          <w:szCs w:val="21"/>
          <w:shd w:val="clear" w:fill="FFFFFF"/>
        </w:rPr>
        <w:t>尺寸检测：测量并记录刀齿的磨损量、基体剩余厚度及工作面轮廓尺寸；</w:t>
      </w:r>
    </w:p>
    <w:p w14:paraId="42B5862E">
      <w:pPr>
        <w:pStyle w:val="175"/>
        <w:numPr>
          <w:ilvl w:val="0"/>
          <w:numId w:val="35"/>
        </w:numPr>
        <w:bidi w:val="0"/>
        <w:ind w:left="851" w:leftChars="0" w:hanging="426" w:firstLineChars="0"/>
        <w:rPr>
          <w:rFonts w:hint="eastAsia" w:ascii="宋体" w:hAnsi="宋体" w:eastAsia="宋体" w:cs="宋体"/>
          <w:b w:val="0"/>
          <w:bCs w:val="0"/>
          <w:i w:val="0"/>
          <w:iCs w:val="0"/>
          <w:caps w:val="0"/>
          <w:color w:val="0F1115"/>
          <w:spacing w:val="0"/>
          <w:sz w:val="21"/>
          <w:szCs w:val="21"/>
        </w:rPr>
      </w:pPr>
      <w:r>
        <w:rPr>
          <w:rFonts w:hint="eastAsia" w:ascii="宋体" w:hAnsi="宋体" w:eastAsia="宋体" w:cs="宋体"/>
          <w:b w:val="0"/>
          <w:bCs w:val="0"/>
          <w:i w:val="0"/>
          <w:iCs w:val="0"/>
          <w:caps w:val="0"/>
          <w:color w:val="0F1115"/>
          <w:spacing w:val="0"/>
          <w:sz w:val="21"/>
          <w:szCs w:val="21"/>
          <w:shd w:val="clear" w:fill="FFFFFF"/>
        </w:rPr>
        <w:t>旧层去除：存在旧堆焊层或疲劳硬化层时</w:t>
      </w:r>
      <w:r>
        <w:rPr>
          <w:rFonts w:hint="eastAsia" w:ascii="宋体" w:hAnsi="宋体" w:eastAsia="宋体" w:cs="宋体"/>
          <w:b w:val="0"/>
          <w:bCs w:val="0"/>
          <w:i w:val="0"/>
          <w:iCs w:val="0"/>
          <w:caps w:val="0"/>
          <w:color w:val="0F1115"/>
          <w:spacing w:val="0"/>
          <w:sz w:val="21"/>
          <w:szCs w:val="21"/>
          <w:highlight w:val="none"/>
          <w:shd w:val="clear" w:fill="FFFFFF"/>
        </w:rPr>
        <w:t>，采用</w:t>
      </w:r>
      <w:r>
        <w:rPr>
          <w:rFonts w:hint="eastAsia" w:hAnsi="宋体" w:cs="宋体"/>
          <w:b w:val="0"/>
          <w:bCs w:val="0"/>
          <w:i w:val="0"/>
          <w:iCs w:val="0"/>
          <w:caps w:val="0"/>
          <w:color w:val="0F1115"/>
          <w:spacing w:val="0"/>
          <w:sz w:val="21"/>
          <w:szCs w:val="21"/>
          <w:highlight w:val="none"/>
          <w:shd w:val="clear" w:fill="FFFFFF"/>
          <w:lang w:val="en-US" w:eastAsia="zh-CN"/>
        </w:rPr>
        <w:t>机械法</w:t>
      </w:r>
      <w:r>
        <w:rPr>
          <w:rFonts w:hint="eastAsia" w:ascii="宋体" w:hAnsi="宋体" w:eastAsia="宋体" w:cs="宋体"/>
          <w:b w:val="0"/>
          <w:bCs w:val="0"/>
          <w:i w:val="0"/>
          <w:iCs w:val="0"/>
          <w:caps w:val="0"/>
          <w:color w:val="0F1115"/>
          <w:spacing w:val="0"/>
          <w:sz w:val="21"/>
          <w:szCs w:val="21"/>
          <w:highlight w:val="none"/>
          <w:shd w:val="clear" w:fill="FFFFFF"/>
        </w:rPr>
        <w:t>彻底去除，露出完好基体；</w:t>
      </w:r>
    </w:p>
    <w:p w14:paraId="1110C67E">
      <w:pPr>
        <w:pStyle w:val="175"/>
        <w:numPr>
          <w:ilvl w:val="0"/>
          <w:numId w:val="35"/>
        </w:numPr>
        <w:bidi w:val="0"/>
        <w:ind w:left="851" w:leftChars="0" w:hanging="426" w:firstLineChars="0"/>
        <w:rPr>
          <w:rFonts w:hint="eastAsia" w:ascii="宋体" w:hAnsi="宋体" w:eastAsia="宋体" w:cs="宋体"/>
          <w:b w:val="0"/>
          <w:bCs w:val="0"/>
          <w:i w:val="0"/>
          <w:iCs w:val="0"/>
          <w:caps w:val="0"/>
          <w:color w:val="0F1115"/>
          <w:spacing w:val="0"/>
          <w:sz w:val="21"/>
          <w:szCs w:val="21"/>
          <w:shd w:val="clear" w:fill="FFFFFF"/>
        </w:rPr>
      </w:pPr>
      <w:r>
        <w:rPr>
          <w:rFonts w:hint="eastAsia" w:ascii="宋体" w:hAnsi="宋体" w:eastAsia="宋体" w:cs="宋体"/>
          <w:b w:val="0"/>
          <w:bCs w:val="0"/>
          <w:i w:val="0"/>
          <w:iCs w:val="0"/>
          <w:caps w:val="0"/>
          <w:color w:val="0F1115"/>
          <w:spacing w:val="0"/>
          <w:sz w:val="21"/>
          <w:szCs w:val="21"/>
          <w:shd w:val="clear" w:fill="FFFFFF"/>
        </w:rPr>
        <w:t>检测：</w:t>
      </w:r>
      <w:r>
        <w:rPr>
          <w:rFonts w:hint="eastAsia" w:ascii="宋体" w:hAnsi="宋体" w:eastAsia="宋体" w:cs="宋体"/>
          <w:b w:val="0"/>
          <w:bCs w:val="0"/>
          <w:i w:val="0"/>
          <w:iCs w:val="0"/>
          <w:caps w:val="0"/>
          <w:color w:val="0F1115"/>
          <w:spacing w:val="0"/>
          <w:sz w:val="21"/>
          <w:szCs w:val="21"/>
          <w:shd w:val="clear" w:fill="FFFFFF"/>
          <w:lang w:val="en-US" w:eastAsia="zh-CN"/>
        </w:rPr>
        <w:t>依据</w:t>
      </w:r>
      <w:r>
        <w:rPr>
          <w:rFonts w:hint="eastAsia" w:ascii="宋体" w:hAnsi="宋体" w:eastAsia="宋体" w:cs="宋体"/>
          <w:b w:val="0"/>
          <w:bCs w:val="0"/>
          <w:i w:val="0"/>
          <w:iCs w:val="0"/>
          <w:caps w:val="0"/>
          <w:color w:val="0F1115"/>
          <w:spacing w:val="0"/>
          <w:sz w:val="21"/>
          <w:szCs w:val="21"/>
          <w:shd w:val="clear" w:fill="FFFFFF"/>
        </w:rPr>
        <w:t>GB/T 32259—2015</w:t>
      </w:r>
      <w:r>
        <w:rPr>
          <w:rFonts w:hint="eastAsia" w:ascii="宋体" w:hAnsi="宋体" w:eastAsia="宋体" w:cs="宋体"/>
          <w:b w:val="0"/>
          <w:bCs w:val="0"/>
          <w:i w:val="0"/>
          <w:iCs w:val="0"/>
          <w:caps w:val="0"/>
          <w:color w:val="0F1115"/>
          <w:spacing w:val="0"/>
          <w:sz w:val="21"/>
          <w:szCs w:val="21"/>
          <w:shd w:val="clear" w:fill="FFFFFF"/>
          <w:lang w:val="en-US" w:eastAsia="zh-CN"/>
        </w:rPr>
        <w:t>相关要求进行</w:t>
      </w:r>
      <w:r>
        <w:rPr>
          <w:rFonts w:hint="eastAsia" w:ascii="宋体" w:hAnsi="宋体" w:eastAsia="宋体" w:cs="宋体"/>
          <w:b w:val="0"/>
          <w:bCs w:val="0"/>
          <w:i w:val="0"/>
          <w:iCs w:val="0"/>
          <w:caps w:val="0"/>
          <w:color w:val="0F1115"/>
          <w:spacing w:val="0"/>
          <w:sz w:val="21"/>
          <w:szCs w:val="21"/>
          <w:shd w:val="clear" w:fill="FFFFFF"/>
        </w:rPr>
        <w:t>目视检测，如有必要按照JB/T9218进行探伤检验</w:t>
      </w:r>
      <w:r>
        <w:rPr>
          <w:rFonts w:hint="eastAsia" w:ascii="宋体" w:hAnsi="宋体" w:eastAsia="宋体" w:cs="宋体"/>
          <w:b w:val="0"/>
          <w:bCs w:val="0"/>
          <w:i w:val="0"/>
          <w:iCs w:val="0"/>
          <w:caps w:val="0"/>
          <w:color w:val="0F1115"/>
          <w:spacing w:val="0"/>
          <w:sz w:val="21"/>
          <w:szCs w:val="21"/>
          <w:shd w:val="clear" w:fill="FFFFFF"/>
          <w:lang w:eastAsia="zh-CN"/>
        </w:rPr>
        <w:t>。</w:t>
      </w:r>
    </w:p>
    <w:p w14:paraId="19749645">
      <w:pPr>
        <w:pStyle w:val="175"/>
        <w:numPr>
          <w:ilvl w:val="0"/>
          <w:numId w:val="35"/>
        </w:numPr>
        <w:bidi w:val="0"/>
        <w:ind w:left="851" w:leftChars="0" w:hanging="426" w:firstLineChars="0"/>
        <w:rPr>
          <w:rFonts w:hint="eastAsia" w:ascii="宋体" w:hAnsi="宋体" w:eastAsia="宋体" w:cs="宋体"/>
          <w:b w:val="0"/>
          <w:bCs w:val="0"/>
          <w:i w:val="0"/>
          <w:iCs w:val="0"/>
          <w:caps w:val="0"/>
          <w:color w:val="0F1115"/>
          <w:spacing w:val="0"/>
          <w:sz w:val="21"/>
          <w:szCs w:val="21"/>
        </w:rPr>
      </w:pPr>
      <w:r>
        <w:rPr>
          <w:rFonts w:hint="eastAsia" w:ascii="宋体" w:hAnsi="宋体" w:eastAsia="宋体" w:cs="宋体"/>
          <w:b w:val="0"/>
          <w:bCs w:val="0"/>
          <w:i w:val="0"/>
          <w:iCs w:val="0"/>
          <w:caps w:val="0"/>
          <w:color w:val="0F1115"/>
          <w:spacing w:val="0"/>
          <w:sz w:val="21"/>
          <w:szCs w:val="21"/>
          <w:shd w:val="clear" w:fill="FFFFFF"/>
        </w:rPr>
        <w:t>缺欠判定：缺欠分类符合GB/T 6417.1的规定；</w:t>
      </w:r>
    </w:p>
    <w:p w14:paraId="4A31B1B0">
      <w:pPr>
        <w:pStyle w:val="175"/>
        <w:numPr>
          <w:ilvl w:val="0"/>
          <w:numId w:val="35"/>
        </w:numPr>
        <w:bidi w:val="0"/>
        <w:ind w:left="851" w:leftChars="0" w:hanging="426" w:firstLineChars="0"/>
      </w:pPr>
      <w:r>
        <w:rPr>
          <w:rFonts w:hint="eastAsia" w:ascii="宋体" w:hAnsi="宋体" w:eastAsia="宋体" w:cs="宋体"/>
          <w:b w:val="0"/>
          <w:bCs w:val="0"/>
          <w:i w:val="0"/>
          <w:iCs w:val="0"/>
          <w:caps w:val="0"/>
          <w:color w:val="0F1115"/>
          <w:spacing w:val="0"/>
          <w:sz w:val="21"/>
          <w:szCs w:val="21"/>
          <w:shd w:val="clear" w:fill="FFFFFF"/>
        </w:rPr>
        <w:t>处置决策：待修复刀齿基体不得存在裂纹、未熔合等危险性缺欠；局部浅层裂纹应采用打磨或气刨完全清除后，方可进行堆焊修复；深度贯穿裂纹应予以报废。</w:t>
      </w:r>
    </w:p>
    <w:p w14:paraId="03C8590C">
      <w:pPr>
        <w:pStyle w:val="66"/>
        <w:bidi w:val="0"/>
        <w:ind w:left="0" w:leftChars="0" w:firstLine="0" w:firstLineChars="0"/>
      </w:pPr>
      <w:r>
        <w:t>堆焊材料</w:t>
      </w:r>
      <w:bookmarkEnd w:id="140"/>
    </w:p>
    <w:p w14:paraId="4DFC6E33">
      <w:pPr>
        <w:pStyle w:val="57"/>
        <w:rPr>
          <w:rFonts w:ascii="宋体" w:hAnsi="Times New Roman" w:eastAsia="宋体" w:cs="Times New Roman"/>
          <w:sz w:val="21"/>
          <w:lang w:val="en-US" w:eastAsia="zh-CN" w:bidi="ar-SA"/>
        </w:rPr>
      </w:pPr>
      <w:r>
        <w:rPr>
          <w:rFonts w:ascii="宋体" w:hAnsi="Times New Roman" w:eastAsia="宋体" w:cs="Times New Roman"/>
          <w:sz w:val="21"/>
          <w:lang w:val="en-US" w:eastAsia="zh-CN" w:bidi="ar-SA"/>
        </w:rPr>
        <w:t>堆焊</w:t>
      </w:r>
      <w:r>
        <w:rPr>
          <w:rFonts w:hint="eastAsia" w:ascii="宋体" w:cs="Times New Roman"/>
          <w:sz w:val="21"/>
          <w:lang w:val="en-US" w:eastAsia="zh-CN" w:bidi="ar-SA"/>
        </w:rPr>
        <w:t>材</w:t>
      </w:r>
      <w:r>
        <w:rPr>
          <w:rFonts w:ascii="宋体" w:hAnsi="Times New Roman" w:eastAsia="宋体" w:cs="Times New Roman"/>
          <w:sz w:val="21"/>
          <w:lang w:val="en-US" w:eastAsia="zh-CN" w:bidi="ar-SA"/>
        </w:rPr>
        <w:t>料的选用符合以下要求：</w:t>
      </w:r>
    </w:p>
    <w:p w14:paraId="54BCC2A3">
      <w:pPr>
        <w:pStyle w:val="175"/>
        <w:numPr>
          <w:ilvl w:val="0"/>
          <w:numId w:val="36"/>
        </w:numPr>
        <w:bidi w:val="0"/>
        <w:ind w:left="851" w:leftChars="0" w:hanging="426" w:firstLineChars="0"/>
        <w:rPr>
          <w:rFonts w:ascii="宋体" w:hAnsi="Times New Roman" w:eastAsia="宋体" w:cs="Times New Roman"/>
          <w:sz w:val="21"/>
          <w:lang w:val="en-US" w:eastAsia="zh-CN" w:bidi="ar-SA"/>
        </w:rPr>
      </w:pPr>
      <w:r>
        <w:rPr>
          <w:rFonts w:hint="default" w:ascii="宋体" w:hAnsi="Times New Roman" w:eastAsia="宋体" w:cs="Times New Roman"/>
          <w:i w:val="0"/>
          <w:iCs w:val="0"/>
          <w:caps w:val="0"/>
          <w:color w:val="0F1115"/>
          <w:spacing w:val="0"/>
          <w:sz w:val="21"/>
          <w:szCs w:val="12"/>
          <w:shd w:val="clear" w:fill="FFFFFF"/>
          <w:lang w:val="en-US" w:eastAsia="zh-CN" w:bidi="ar-SA"/>
        </w:rPr>
        <w:t>具有出厂合格证及质量证明书，其质量应符合JB/T 3223的规定；</w:t>
      </w:r>
    </w:p>
    <w:p w14:paraId="49C1C1EE">
      <w:pPr>
        <w:pStyle w:val="175"/>
        <w:numPr>
          <w:ilvl w:val="0"/>
          <w:numId w:val="36"/>
        </w:numPr>
        <w:bidi w:val="0"/>
        <w:ind w:left="851" w:leftChars="0" w:hanging="426" w:firstLineChars="0"/>
        <w:rPr>
          <w:rFonts w:hint="default" w:ascii="Segoe UI" w:hAnsi="Segoe UI" w:eastAsia="Segoe UI" w:cs="Segoe UI"/>
          <w:i w:val="0"/>
          <w:iCs w:val="0"/>
          <w:caps w:val="0"/>
          <w:color w:val="0F1115"/>
          <w:spacing w:val="0"/>
          <w:sz w:val="12"/>
          <w:szCs w:val="12"/>
        </w:rPr>
      </w:pPr>
      <w:r>
        <w:rPr>
          <w:rFonts w:hint="default"/>
          <w:lang w:val="en-US" w:eastAsia="zh-CN"/>
        </w:rPr>
        <w:t>根据刀齿基体材质、井下冲击磨损工况及耐磨指标选用；</w:t>
      </w:r>
    </w:p>
    <w:p w14:paraId="038DBE19">
      <w:pPr>
        <w:pStyle w:val="175"/>
        <w:numPr>
          <w:ilvl w:val="0"/>
          <w:numId w:val="36"/>
        </w:numPr>
        <w:bidi w:val="0"/>
        <w:ind w:left="851" w:leftChars="0" w:hanging="426" w:firstLineChars="0"/>
        <w:rPr>
          <w:rFonts w:hint="default"/>
          <w:lang w:val="en-US" w:eastAsia="zh-CN"/>
        </w:rPr>
      </w:pPr>
      <w:r>
        <w:rPr>
          <w:rFonts w:hint="default"/>
          <w:lang w:val="en-US" w:eastAsia="zh-CN"/>
        </w:rPr>
        <w:t>手工电弧焊应选用耐磨堆焊焊条</w:t>
      </w:r>
      <w:r>
        <w:rPr>
          <w:rFonts w:hint="eastAsia"/>
          <w:lang w:val="en-US" w:eastAsia="zh-CN"/>
        </w:rPr>
        <w:t>符合</w:t>
      </w:r>
      <w:r>
        <w:rPr>
          <w:rFonts w:hint="default"/>
          <w:lang w:val="en-US" w:eastAsia="zh-CN"/>
        </w:rPr>
        <w:t>GB/T 984</w:t>
      </w:r>
      <w:r>
        <w:rPr>
          <w:rFonts w:hint="eastAsia"/>
          <w:lang w:val="en-US" w:eastAsia="zh-CN"/>
        </w:rPr>
        <w:t>要求，</w:t>
      </w:r>
      <w:r>
        <w:rPr>
          <w:rFonts w:hint="default"/>
          <w:lang w:val="en-US" w:eastAsia="zh-CN"/>
        </w:rPr>
        <w:t>250</w:t>
      </w:r>
      <w:r>
        <w:rPr>
          <w:rFonts w:hint="eastAsia"/>
          <w:lang w:val="en-US" w:eastAsia="zh-CN"/>
        </w:rPr>
        <w:t> </w:t>
      </w:r>
      <w:r>
        <w:rPr>
          <w:rFonts w:hint="default"/>
          <w:lang w:val="en-US" w:eastAsia="zh-CN"/>
        </w:rPr>
        <w:t>℃～300</w:t>
      </w:r>
      <w:r>
        <w:rPr>
          <w:rFonts w:hint="eastAsia"/>
          <w:lang w:val="en-US" w:eastAsia="zh-CN"/>
        </w:rPr>
        <w:t> </w:t>
      </w:r>
      <w:r>
        <w:rPr>
          <w:rFonts w:hint="default"/>
          <w:lang w:val="en-US" w:eastAsia="zh-CN"/>
        </w:rPr>
        <w:t>℃烘干保温1</w:t>
      </w:r>
      <w:r>
        <w:rPr>
          <w:rFonts w:hint="eastAsia"/>
          <w:lang w:val="en-US" w:eastAsia="zh-CN"/>
        </w:rPr>
        <w:t> </w:t>
      </w:r>
      <w:r>
        <w:rPr>
          <w:rFonts w:hint="default"/>
          <w:lang w:val="en-US" w:eastAsia="zh-CN"/>
        </w:rPr>
        <w:t>h，随取随用；</w:t>
      </w:r>
    </w:p>
    <w:p w14:paraId="79A5CEBE">
      <w:pPr>
        <w:pStyle w:val="175"/>
        <w:numPr>
          <w:ilvl w:val="0"/>
          <w:numId w:val="36"/>
        </w:numPr>
        <w:bidi w:val="0"/>
        <w:ind w:left="851" w:leftChars="0" w:hanging="426" w:firstLineChars="0"/>
        <w:rPr>
          <w:rFonts w:hint="default" w:ascii="宋体" w:hAnsi="Times New Roman" w:eastAsia="宋体" w:cs="Times New Roman"/>
          <w:i w:val="0"/>
          <w:iCs w:val="0"/>
          <w:caps w:val="0"/>
          <w:color w:val="0F1115"/>
          <w:spacing w:val="0"/>
          <w:sz w:val="21"/>
          <w:szCs w:val="12"/>
          <w:shd w:val="clear" w:fill="FFFFFF"/>
          <w:lang w:val="en-US" w:eastAsia="zh-CN" w:bidi="ar-SA"/>
        </w:rPr>
      </w:pPr>
      <w:r>
        <w:rPr>
          <w:rFonts w:hint="eastAsia" w:cs="Times New Roman"/>
          <w:i w:val="0"/>
          <w:iCs w:val="0"/>
          <w:caps w:val="0"/>
          <w:color w:val="0F1115"/>
          <w:spacing w:val="0"/>
          <w:sz w:val="21"/>
          <w:szCs w:val="12"/>
          <w:shd w:val="clear" w:fill="FFFFFF"/>
          <w:lang w:val="en-US" w:eastAsia="zh-CN" w:bidi="ar-SA"/>
        </w:rPr>
        <w:t>手工</w:t>
      </w:r>
      <w:r>
        <w:rPr>
          <w:rFonts w:hint="default" w:ascii="宋体" w:hAnsi="Times New Roman" w:eastAsia="宋体" w:cs="Times New Roman"/>
          <w:i w:val="0"/>
          <w:iCs w:val="0"/>
          <w:caps w:val="0"/>
          <w:color w:val="0F1115"/>
          <w:spacing w:val="0"/>
          <w:sz w:val="21"/>
          <w:szCs w:val="12"/>
          <w:shd w:val="clear" w:fill="FFFFFF"/>
          <w:lang w:val="en-US" w:eastAsia="zh-CN" w:bidi="ar-SA"/>
        </w:rPr>
        <w:t>及自动MAG焊应选用与工况相适应的耐磨药芯焊丝；</w:t>
      </w:r>
    </w:p>
    <w:p w14:paraId="1B1BACA1">
      <w:pPr>
        <w:pStyle w:val="175"/>
        <w:numPr>
          <w:ilvl w:val="0"/>
          <w:numId w:val="36"/>
        </w:numPr>
        <w:bidi w:val="0"/>
        <w:ind w:left="851" w:leftChars="0" w:hanging="426" w:firstLineChars="0"/>
        <w:rPr>
          <w:rFonts w:hint="default" w:ascii="宋体" w:hAnsi="Times New Roman" w:eastAsia="宋体" w:cs="Times New Roman"/>
          <w:i w:val="0"/>
          <w:iCs w:val="0"/>
          <w:caps w:val="0"/>
          <w:color w:val="0F1115"/>
          <w:spacing w:val="0"/>
          <w:sz w:val="21"/>
          <w:szCs w:val="12"/>
          <w:shd w:val="clear" w:fill="FFFFFF"/>
          <w:lang w:val="en-US" w:eastAsia="zh-CN" w:bidi="ar-SA"/>
        </w:rPr>
      </w:pPr>
      <w:r>
        <w:rPr>
          <w:rFonts w:hint="default" w:ascii="宋体" w:hAnsi="Times New Roman" w:eastAsia="宋体" w:cs="Times New Roman"/>
          <w:i w:val="0"/>
          <w:iCs w:val="0"/>
          <w:caps w:val="0"/>
          <w:color w:val="0F1115"/>
          <w:spacing w:val="0"/>
          <w:sz w:val="21"/>
          <w:szCs w:val="12"/>
          <w:shd w:val="clear" w:fill="FFFFFF"/>
          <w:lang w:val="en-US" w:eastAsia="zh-CN" w:bidi="ar-SA"/>
        </w:rPr>
        <w:t>等离子熔覆应选用铁基或镍基耐磨合金粉末；</w:t>
      </w:r>
    </w:p>
    <w:p w14:paraId="2176C815">
      <w:pPr>
        <w:pStyle w:val="175"/>
        <w:numPr>
          <w:ilvl w:val="0"/>
          <w:numId w:val="36"/>
        </w:numPr>
        <w:bidi w:val="0"/>
        <w:ind w:left="851" w:leftChars="0" w:hanging="426" w:firstLineChars="0"/>
        <w:rPr>
          <w:rFonts w:hint="default" w:ascii="宋体" w:hAnsi="Times New Roman" w:eastAsia="宋体" w:cs="Times New Roman"/>
          <w:i w:val="0"/>
          <w:iCs w:val="0"/>
          <w:caps w:val="0"/>
          <w:color w:val="0F1115"/>
          <w:spacing w:val="0"/>
          <w:sz w:val="21"/>
          <w:szCs w:val="12"/>
          <w:shd w:val="clear" w:fill="FFFFFF"/>
          <w:lang w:val="en-US" w:eastAsia="zh-CN" w:bidi="ar-SA"/>
        </w:rPr>
      </w:pPr>
      <w:r>
        <w:rPr>
          <w:rFonts w:hint="default" w:ascii="宋体" w:hAnsi="Times New Roman" w:eastAsia="宋体" w:cs="Times New Roman"/>
          <w:i w:val="0"/>
          <w:iCs w:val="0"/>
          <w:caps w:val="0"/>
          <w:color w:val="0F1115"/>
          <w:spacing w:val="0"/>
          <w:sz w:val="21"/>
          <w:szCs w:val="12"/>
          <w:shd w:val="clear" w:fill="FFFFFF"/>
          <w:lang w:val="en-US" w:eastAsia="zh-CN" w:bidi="ar-SA"/>
        </w:rPr>
        <w:t>焊材应存放于干燥环境</w:t>
      </w:r>
      <w:r>
        <w:rPr>
          <w:rFonts w:hint="eastAsia" w:cs="Times New Roman"/>
          <w:i w:val="0"/>
          <w:iCs w:val="0"/>
          <w:caps w:val="0"/>
          <w:color w:val="0F1115"/>
          <w:spacing w:val="0"/>
          <w:sz w:val="21"/>
          <w:szCs w:val="12"/>
          <w:shd w:val="clear" w:fill="FFFFFF"/>
          <w:lang w:val="en-US" w:eastAsia="zh-CN" w:bidi="ar-SA"/>
        </w:rPr>
        <w:t>。</w:t>
      </w:r>
    </w:p>
    <w:p w14:paraId="725C3732">
      <w:pPr>
        <w:pStyle w:val="105"/>
        <w:bidi w:val="0"/>
      </w:pPr>
      <w:bookmarkStart w:id="141" w:name="_Toc19552"/>
      <w:bookmarkStart w:id="142" w:name="_Toc1282"/>
      <w:bookmarkStart w:id="143" w:name="_Toc30523"/>
      <w:r>
        <w:rPr>
          <w:rFonts w:hint="eastAsia"/>
          <w:lang w:val="en-US" w:eastAsia="zh-CN"/>
        </w:rPr>
        <w:t>堆焊工艺流程与工艺参数</w:t>
      </w:r>
      <w:bookmarkEnd w:id="141"/>
      <w:bookmarkEnd w:id="142"/>
      <w:bookmarkEnd w:id="143"/>
    </w:p>
    <w:p w14:paraId="50F955C8">
      <w:pPr>
        <w:pStyle w:val="106"/>
        <w:bidi w:val="0"/>
        <w:ind w:left="0" w:leftChars="0" w:firstLine="0" w:firstLineChars="0"/>
      </w:pPr>
      <w:bookmarkStart w:id="144" w:name="_Toc22156"/>
      <w:bookmarkStart w:id="145" w:name="_Toc12025"/>
      <w:bookmarkStart w:id="146" w:name="_Toc22953"/>
      <w:bookmarkStart w:id="147" w:name="_Toc3955"/>
      <w:bookmarkStart w:id="148" w:name="_Toc31048"/>
      <w:bookmarkStart w:id="149" w:name="_Toc17229"/>
      <w:bookmarkStart w:id="150" w:name="_Toc17067"/>
      <w:bookmarkStart w:id="151" w:name="_Toc201"/>
      <w:bookmarkStart w:id="152" w:name="_Toc23060"/>
      <w:r>
        <w:t>工艺流程</w:t>
      </w:r>
      <w:bookmarkEnd w:id="144"/>
      <w:bookmarkEnd w:id="145"/>
      <w:bookmarkEnd w:id="146"/>
      <w:bookmarkEnd w:id="147"/>
      <w:bookmarkEnd w:id="148"/>
      <w:bookmarkEnd w:id="149"/>
      <w:bookmarkEnd w:id="150"/>
      <w:bookmarkEnd w:id="151"/>
      <w:bookmarkEnd w:id="152"/>
    </w:p>
    <w:p w14:paraId="2F4DC0CD">
      <w:pPr>
        <w:pStyle w:val="57"/>
        <w:rPr>
          <w:rFonts w:hint="eastAsia" w:ascii="宋体" w:hAnsi="宋体" w:eastAsia="宋体" w:cs="宋体"/>
          <w:b w:val="0"/>
          <w:bCs w:val="0"/>
          <w:sz w:val="21"/>
          <w:lang w:val="en-US" w:eastAsia="zh-CN" w:bidi="ar-SA"/>
        </w:rPr>
      </w:pPr>
      <w:r>
        <w:rPr>
          <w:rFonts w:hint="default" w:ascii="宋体" w:hAnsi="宋体" w:eastAsia="宋体" w:cs="宋体"/>
          <w:b w:val="0"/>
          <w:bCs w:val="0"/>
          <w:sz w:val="21"/>
          <w:lang w:val="en-US" w:eastAsia="zh-CN" w:bidi="ar-SA"/>
        </w:rPr>
        <w:t>堆焊作业应按以下流程进行：</w:t>
      </w:r>
    </w:p>
    <w:p w14:paraId="4C596BC8">
      <w:pPr>
        <w:pStyle w:val="175"/>
        <w:numPr>
          <w:ilvl w:val="0"/>
          <w:numId w:val="37"/>
        </w:numPr>
        <w:bidi w:val="0"/>
        <w:ind w:left="851" w:leftChars="0" w:hanging="426" w:firstLineChars="0"/>
        <w:rPr>
          <w:rFonts w:hint="eastAsia" w:ascii="宋体" w:hAnsi="宋体" w:eastAsia="宋体" w:cs="宋体"/>
          <w:b w:val="0"/>
          <w:bCs w:val="0"/>
          <w:i w:val="0"/>
          <w:iCs w:val="0"/>
          <w:caps w:val="0"/>
          <w:color w:val="0F1115"/>
          <w:spacing w:val="0"/>
          <w:sz w:val="21"/>
          <w:szCs w:val="21"/>
          <w:shd w:val="clear" w:fill="FFFFFF"/>
        </w:rPr>
      </w:pPr>
      <w:r>
        <w:rPr>
          <w:rFonts w:hint="default" w:ascii="宋体" w:hAnsi="宋体" w:eastAsia="宋体" w:cs="宋体"/>
          <w:b w:val="0"/>
          <w:bCs w:val="0"/>
          <w:i w:val="0"/>
          <w:iCs w:val="0"/>
          <w:caps w:val="0"/>
          <w:color w:val="0F1115"/>
          <w:spacing w:val="0"/>
          <w:sz w:val="21"/>
          <w:szCs w:val="21"/>
          <w:shd w:val="clear" w:fill="FFFFFF"/>
        </w:rPr>
        <w:t>焊前清理及</w:t>
      </w:r>
      <w:r>
        <w:rPr>
          <w:rFonts w:hint="eastAsia" w:hAnsi="宋体" w:cs="宋体"/>
          <w:b w:val="0"/>
          <w:bCs w:val="0"/>
          <w:i w:val="0"/>
          <w:iCs w:val="0"/>
          <w:caps w:val="0"/>
          <w:color w:val="0F1115"/>
          <w:spacing w:val="0"/>
          <w:sz w:val="21"/>
          <w:szCs w:val="21"/>
          <w:shd w:val="clear" w:fill="FFFFFF"/>
          <w:lang w:val="en-US" w:eastAsia="zh-CN"/>
        </w:rPr>
        <w:t>无损</w:t>
      </w:r>
      <w:r>
        <w:rPr>
          <w:rFonts w:hint="eastAsia" w:hAnsi="宋体" w:cs="宋体"/>
          <w:b w:val="0"/>
          <w:bCs w:val="0"/>
          <w:i w:val="0"/>
          <w:iCs w:val="0"/>
          <w:caps w:val="0"/>
          <w:color w:val="0F1115"/>
          <w:spacing w:val="0"/>
          <w:sz w:val="21"/>
          <w:szCs w:val="21"/>
          <w:shd w:val="clear" w:fill="FFFFFF"/>
          <w:lang w:eastAsia="zh-CN"/>
        </w:rPr>
        <w:t>检测</w:t>
      </w:r>
      <w:r>
        <w:rPr>
          <w:rFonts w:hint="default" w:ascii="宋体" w:hAnsi="宋体" w:eastAsia="宋体" w:cs="宋体"/>
          <w:b w:val="0"/>
          <w:bCs w:val="0"/>
          <w:i w:val="0"/>
          <w:iCs w:val="0"/>
          <w:caps w:val="0"/>
          <w:color w:val="0F1115"/>
          <w:spacing w:val="0"/>
          <w:sz w:val="21"/>
          <w:szCs w:val="21"/>
          <w:shd w:val="clear" w:fill="FFFFFF"/>
        </w:rPr>
        <w:t>；</w:t>
      </w:r>
    </w:p>
    <w:p w14:paraId="33C67876">
      <w:pPr>
        <w:pStyle w:val="175"/>
        <w:numPr>
          <w:ilvl w:val="0"/>
          <w:numId w:val="37"/>
        </w:numPr>
        <w:bidi w:val="0"/>
        <w:ind w:left="851" w:leftChars="0" w:hanging="426" w:firstLineChars="0"/>
        <w:rPr>
          <w:rFonts w:hint="eastAsia" w:ascii="宋体" w:hAnsi="宋体" w:eastAsia="宋体" w:cs="宋体"/>
          <w:b w:val="0"/>
          <w:bCs w:val="0"/>
          <w:i w:val="0"/>
          <w:iCs w:val="0"/>
          <w:caps w:val="0"/>
          <w:color w:val="0F1115"/>
          <w:spacing w:val="0"/>
          <w:sz w:val="21"/>
          <w:szCs w:val="21"/>
          <w:shd w:val="clear" w:fill="FFFFFF"/>
        </w:rPr>
      </w:pPr>
      <w:r>
        <w:rPr>
          <w:rFonts w:hint="default" w:ascii="宋体" w:hAnsi="宋体" w:eastAsia="宋体" w:cs="宋体"/>
          <w:b w:val="0"/>
          <w:bCs w:val="0"/>
          <w:i w:val="0"/>
          <w:iCs w:val="0"/>
          <w:caps w:val="0"/>
          <w:color w:val="0F1115"/>
          <w:spacing w:val="0"/>
          <w:sz w:val="21"/>
          <w:szCs w:val="21"/>
          <w:shd w:val="clear" w:fill="FFFFFF"/>
        </w:rPr>
        <w:t>整体预热；</w:t>
      </w:r>
    </w:p>
    <w:p w14:paraId="20B9818F">
      <w:pPr>
        <w:pStyle w:val="175"/>
        <w:numPr>
          <w:ilvl w:val="0"/>
          <w:numId w:val="37"/>
        </w:numPr>
        <w:bidi w:val="0"/>
        <w:ind w:left="851" w:leftChars="0" w:hanging="426" w:firstLineChars="0"/>
        <w:rPr>
          <w:rFonts w:hint="eastAsia" w:ascii="宋体" w:hAnsi="宋体" w:eastAsia="宋体" w:cs="宋体"/>
          <w:b w:val="0"/>
          <w:bCs w:val="0"/>
          <w:i w:val="0"/>
          <w:iCs w:val="0"/>
          <w:caps w:val="0"/>
          <w:color w:val="0F1115"/>
          <w:spacing w:val="0"/>
          <w:sz w:val="21"/>
          <w:szCs w:val="21"/>
          <w:shd w:val="clear" w:fill="FFFFFF"/>
        </w:rPr>
      </w:pPr>
      <w:r>
        <w:rPr>
          <w:rFonts w:hint="default" w:ascii="宋体" w:hAnsi="宋体" w:eastAsia="宋体" w:cs="宋体"/>
          <w:b w:val="0"/>
          <w:bCs w:val="0"/>
          <w:i w:val="0"/>
          <w:iCs w:val="0"/>
          <w:caps w:val="0"/>
          <w:color w:val="0F1115"/>
          <w:spacing w:val="0"/>
          <w:sz w:val="21"/>
          <w:szCs w:val="21"/>
          <w:shd w:val="clear" w:fill="FFFFFF"/>
        </w:rPr>
        <w:t>打底焊；</w:t>
      </w:r>
    </w:p>
    <w:p w14:paraId="2835749E">
      <w:pPr>
        <w:pStyle w:val="175"/>
        <w:numPr>
          <w:ilvl w:val="0"/>
          <w:numId w:val="37"/>
        </w:numPr>
        <w:bidi w:val="0"/>
        <w:ind w:left="851" w:leftChars="0" w:hanging="426" w:firstLineChars="0"/>
        <w:rPr>
          <w:rFonts w:hint="eastAsia" w:ascii="宋体" w:hAnsi="宋体" w:eastAsia="宋体" w:cs="宋体"/>
          <w:b w:val="0"/>
          <w:bCs w:val="0"/>
          <w:i w:val="0"/>
          <w:iCs w:val="0"/>
          <w:caps w:val="0"/>
          <w:color w:val="0F1115"/>
          <w:spacing w:val="0"/>
          <w:sz w:val="21"/>
          <w:szCs w:val="21"/>
          <w:shd w:val="clear" w:fill="FFFFFF"/>
        </w:rPr>
      </w:pPr>
      <w:r>
        <w:rPr>
          <w:rFonts w:hint="default" w:ascii="宋体" w:hAnsi="宋体" w:eastAsia="宋体" w:cs="宋体"/>
          <w:b w:val="0"/>
          <w:bCs w:val="0"/>
          <w:i w:val="0"/>
          <w:iCs w:val="0"/>
          <w:caps w:val="0"/>
          <w:color w:val="0F1115"/>
          <w:spacing w:val="0"/>
          <w:sz w:val="21"/>
          <w:szCs w:val="21"/>
          <w:shd w:val="clear" w:fill="FFFFFF"/>
        </w:rPr>
        <w:t>多层多道堆焊；</w:t>
      </w:r>
    </w:p>
    <w:p w14:paraId="589FE4FB">
      <w:pPr>
        <w:pStyle w:val="175"/>
        <w:numPr>
          <w:ilvl w:val="0"/>
          <w:numId w:val="37"/>
        </w:numPr>
        <w:bidi w:val="0"/>
        <w:ind w:left="851" w:leftChars="0" w:hanging="426" w:firstLineChars="0"/>
        <w:rPr>
          <w:rFonts w:hint="eastAsia" w:ascii="宋体" w:hAnsi="宋体" w:eastAsia="宋体" w:cs="宋体"/>
          <w:b w:val="0"/>
          <w:bCs w:val="0"/>
          <w:i w:val="0"/>
          <w:iCs w:val="0"/>
          <w:caps w:val="0"/>
          <w:color w:val="0F1115"/>
          <w:spacing w:val="0"/>
          <w:sz w:val="21"/>
          <w:szCs w:val="21"/>
          <w:shd w:val="clear" w:fill="FFFFFF"/>
        </w:rPr>
      </w:pPr>
      <w:r>
        <w:rPr>
          <w:rFonts w:hint="default" w:ascii="宋体" w:hAnsi="宋体" w:eastAsia="宋体" w:cs="宋体"/>
          <w:b w:val="0"/>
          <w:bCs w:val="0"/>
          <w:i w:val="0"/>
          <w:iCs w:val="0"/>
          <w:caps w:val="0"/>
          <w:color w:val="0F1115"/>
          <w:spacing w:val="0"/>
          <w:sz w:val="21"/>
          <w:szCs w:val="21"/>
          <w:shd w:val="clear" w:fill="FFFFFF"/>
        </w:rPr>
        <w:t>焊后缓冷；</w:t>
      </w:r>
    </w:p>
    <w:p w14:paraId="09A77BB3">
      <w:pPr>
        <w:pStyle w:val="175"/>
        <w:numPr>
          <w:ilvl w:val="0"/>
          <w:numId w:val="37"/>
        </w:numPr>
        <w:bidi w:val="0"/>
        <w:ind w:left="851" w:leftChars="0" w:hanging="426" w:firstLineChars="0"/>
        <w:rPr>
          <w:rFonts w:hint="eastAsia" w:ascii="宋体" w:hAnsi="宋体" w:eastAsia="宋体" w:cs="宋体"/>
          <w:b w:val="0"/>
          <w:bCs w:val="0"/>
          <w:i w:val="0"/>
          <w:iCs w:val="0"/>
          <w:caps w:val="0"/>
          <w:color w:val="0F1115"/>
          <w:spacing w:val="0"/>
          <w:sz w:val="21"/>
          <w:szCs w:val="21"/>
          <w:shd w:val="clear" w:fill="FFFFFF"/>
        </w:rPr>
      </w:pPr>
      <w:r>
        <w:rPr>
          <w:rFonts w:hint="eastAsia" w:hAnsi="宋体" w:cs="宋体"/>
          <w:b w:val="0"/>
          <w:bCs w:val="0"/>
          <w:i w:val="0"/>
          <w:iCs w:val="0"/>
          <w:caps w:val="0"/>
          <w:color w:val="0F1115"/>
          <w:spacing w:val="0"/>
          <w:sz w:val="21"/>
          <w:szCs w:val="21"/>
          <w:shd w:val="clear" w:fill="FFFFFF"/>
          <w:lang w:val="en-US" w:eastAsia="zh-CN"/>
        </w:rPr>
        <w:t>修</w:t>
      </w:r>
      <w:r>
        <w:rPr>
          <w:rFonts w:hint="default" w:ascii="宋体" w:hAnsi="宋体" w:eastAsia="宋体" w:cs="宋体"/>
          <w:b w:val="0"/>
          <w:bCs w:val="0"/>
          <w:i w:val="0"/>
          <w:iCs w:val="0"/>
          <w:caps w:val="0"/>
          <w:color w:val="0F1115"/>
          <w:spacing w:val="0"/>
          <w:sz w:val="21"/>
          <w:szCs w:val="21"/>
          <w:shd w:val="clear" w:fill="FFFFFF"/>
        </w:rPr>
        <w:t>磨整形；</w:t>
      </w:r>
    </w:p>
    <w:p w14:paraId="19B69C48">
      <w:pPr>
        <w:pStyle w:val="175"/>
        <w:numPr>
          <w:ilvl w:val="0"/>
          <w:numId w:val="37"/>
        </w:numPr>
        <w:bidi w:val="0"/>
        <w:ind w:left="851" w:leftChars="0" w:hanging="426" w:firstLineChars="0"/>
        <w:rPr>
          <w:rFonts w:hint="eastAsia" w:ascii="宋体" w:hAnsi="宋体" w:eastAsia="宋体" w:cs="宋体"/>
          <w:b w:val="0"/>
          <w:bCs w:val="0"/>
          <w:i w:val="0"/>
          <w:iCs w:val="0"/>
          <w:caps w:val="0"/>
          <w:color w:val="auto"/>
          <w:spacing w:val="0"/>
          <w:sz w:val="21"/>
          <w:szCs w:val="21"/>
          <w:highlight w:val="none"/>
          <w:shd w:val="clear" w:fill="FFFFFF"/>
        </w:rPr>
      </w:pPr>
      <w:r>
        <w:rPr>
          <w:rFonts w:hint="default" w:ascii="宋体" w:hAnsi="宋体" w:eastAsia="宋体" w:cs="宋体"/>
          <w:b w:val="0"/>
          <w:bCs w:val="0"/>
          <w:i w:val="0"/>
          <w:iCs w:val="0"/>
          <w:caps w:val="0"/>
          <w:color w:val="auto"/>
          <w:spacing w:val="0"/>
          <w:sz w:val="21"/>
          <w:szCs w:val="21"/>
          <w:highlight w:val="none"/>
          <w:shd w:val="clear" w:fill="FFFFFF"/>
        </w:rPr>
        <w:t>成品检测。</w:t>
      </w:r>
    </w:p>
    <w:p w14:paraId="599A8CAB">
      <w:pPr>
        <w:pStyle w:val="106"/>
        <w:bidi w:val="0"/>
        <w:ind w:left="0" w:leftChars="0" w:firstLine="0" w:firstLineChars="0"/>
        <w:rPr>
          <w:color w:val="auto"/>
          <w:highlight w:val="none"/>
        </w:rPr>
      </w:pPr>
      <w:bookmarkStart w:id="153" w:name="_Toc2138"/>
      <w:bookmarkStart w:id="154" w:name="_Toc14018"/>
      <w:bookmarkStart w:id="155" w:name="_Toc24652"/>
      <w:bookmarkStart w:id="156" w:name="_Toc32292"/>
      <w:bookmarkStart w:id="157" w:name="_Toc13612"/>
      <w:bookmarkStart w:id="158" w:name="_Toc27607"/>
      <w:bookmarkStart w:id="159" w:name="_Toc2902"/>
      <w:bookmarkStart w:id="160" w:name="_Toc31815"/>
      <w:bookmarkStart w:id="161" w:name="_Toc4420"/>
      <w:r>
        <w:rPr>
          <w:rFonts w:hint="default"/>
          <w:color w:val="auto"/>
          <w:highlight w:val="none"/>
        </w:rPr>
        <w:t>预热工艺</w:t>
      </w:r>
      <w:bookmarkEnd w:id="153"/>
      <w:bookmarkEnd w:id="154"/>
      <w:bookmarkEnd w:id="155"/>
      <w:bookmarkEnd w:id="156"/>
      <w:bookmarkEnd w:id="157"/>
      <w:bookmarkEnd w:id="158"/>
      <w:bookmarkEnd w:id="159"/>
      <w:bookmarkEnd w:id="160"/>
      <w:bookmarkEnd w:id="161"/>
    </w:p>
    <w:p w14:paraId="14767B1E">
      <w:pPr>
        <w:pStyle w:val="66"/>
        <w:bidi w:val="0"/>
        <w:ind w:left="0" w:leftChars="0" w:firstLine="0" w:firstLineChars="0"/>
        <w:rPr>
          <w:rFonts w:hint="eastAsia" w:ascii="宋体" w:hAnsi="宋体" w:eastAsia="宋体" w:cs="宋体"/>
          <w:color w:val="auto"/>
          <w:highlight w:val="none"/>
        </w:rPr>
      </w:pPr>
      <w:bookmarkStart w:id="162" w:name="_Toc11671"/>
      <w:r>
        <w:rPr>
          <w:rFonts w:hint="eastAsia" w:ascii="宋体" w:hAnsi="宋体" w:eastAsia="宋体" w:cs="宋体"/>
          <w:color w:val="auto"/>
          <w:highlight w:val="none"/>
        </w:rPr>
        <w:t>刀齿</w:t>
      </w:r>
      <w:r>
        <w:rPr>
          <w:rFonts w:hint="eastAsia" w:ascii="宋体" w:hAnsi="宋体" w:eastAsia="宋体" w:cs="宋体"/>
          <w:color w:val="auto"/>
          <w:highlight w:val="none"/>
          <w:lang w:val="en-US" w:eastAsia="zh-CN"/>
        </w:rPr>
        <w:t>堆焊前</w:t>
      </w:r>
      <w:r>
        <w:rPr>
          <w:rFonts w:hint="eastAsia" w:ascii="宋体" w:hAnsi="宋体" w:eastAsia="宋体" w:cs="宋体"/>
          <w:color w:val="auto"/>
          <w:highlight w:val="none"/>
        </w:rPr>
        <w:t>应整体均匀加热，禁止局部单点烘烤</w:t>
      </w:r>
      <w:bookmarkEnd w:id="162"/>
      <w:r>
        <w:rPr>
          <w:rFonts w:hint="eastAsia" w:ascii="宋体" w:hAnsi="宋体" w:eastAsia="宋体" w:cs="宋体"/>
          <w:color w:val="auto"/>
          <w:highlight w:val="none"/>
          <w:lang w:eastAsia="zh-CN"/>
        </w:rPr>
        <w:t>，</w:t>
      </w:r>
      <w:r>
        <w:rPr>
          <w:rFonts w:hint="eastAsia" w:ascii="宋体" w:hAnsi="宋体" w:eastAsia="宋体" w:cs="宋体"/>
          <w:color w:val="auto"/>
          <w:highlight w:val="none"/>
        </w:rPr>
        <w:t>工件表面温差应≤30</w:t>
      </w:r>
      <w:r>
        <w:rPr>
          <w:rFonts w:hint="eastAsia" w:ascii="宋体" w:hAnsi="宋体" w:eastAsia="宋体" w:cs="宋体"/>
          <w:color w:val="auto"/>
          <w:highlight w:val="none"/>
          <w:lang w:eastAsia="zh-CN"/>
        </w:rPr>
        <w:t>  </w:t>
      </w:r>
      <w:r>
        <w:rPr>
          <w:rFonts w:hint="eastAsia" w:ascii="宋体" w:hAnsi="宋体" w:eastAsia="宋体" w:cs="宋体"/>
          <w:color w:val="auto"/>
          <w:highlight w:val="none"/>
        </w:rPr>
        <w:t>℃。</w:t>
      </w:r>
    </w:p>
    <w:p w14:paraId="6E8D9C5F">
      <w:pPr>
        <w:pStyle w:val="66"/>
        <w:bidi w:val="0"/>
        <w:ind w:left="0" w:leftChars="0" w:firstLine="0" w:firstLineChars="0"/>
        <w:rPr>
          <w:rFonts w:hint="eastAsia" w:ascii="宋体" w:hAnsi="宋体" w:eastAsia="宋体" w:cs="宋体"/>
          <w:color w:val="auto"/>
          <w:highlight w:val="none"/>
        </w:rPr>
      </w:pPr>
      <w:bookmarkStart w:id="163" w:name="_Toc735"/>
      <w:r>
        <w:rPr>
          <w:rFonts w:hint="eastAsia" w:ascii="宋体" w:hAnsi="宋体" w:eastAsia="宋体" w:cs="宋体"/>
          <w:color w:val="auto"/>
          <w:highlight w:val="none"/>
        </w:rPr>
        <w:t>基体碳当量Ceq≥0.5%的合金钢，预热温度应为200</w:t>
      </w:r>
      <w:r>
        <w:rPr>
          <w:rFonts w:hint="eastAsia" w:ascii="宋体" w:hAnsi="宋体" w:eastAsia="宋体" w:cs="宋体"/>
          <w:color w:val="auto"/>
          <w:highlight w:val="none"/>
          <w:lang w:eastAsia="zh-CN"/>
        </w:rPr>
        <w:t> </w:t>
      </w:r>
      <w:r>
        <w:rPr>
          <w:rFonts w:hint="eastAsia" w:ascii="宋体" w:hAnsi="宋体" w:eastAsia="宋体" w:cs="宋体"/>
          <w:color w:val="auto"/>
          <w:highlight w:val="none"/>
        </w:rPr>
        <w:t>℃～300</w:t>
      </w:r>
      <w:r>
        <w:rPr>
          <w:rFonts w:hint="eastAsia" w:ascii="宋体" w:hAnsi="宋体" w:eastAsia="宋体" w:cs="宋体"/>
          <w:color w:val="auto"/>
          <w:highlight w:val="none"/>
          <w:lang w:eastAsia="zh-CN"/>
        </w:rPr>
        <w:t> </w:t>
      </w:r>
      <w:r>
        <w:rPr>
          <w:rFonts w:hint="eastAsia" w:ascii="宋体" w:hAnsi="宋体" w:eastAsia="宋体" w:cs="宋体"/>
          <w:color w:val="auto"/>
          <w:highlight w:val="none"/>
        </w:rPr>
        <w:t>℃，Ceq＜0.5%合金钢预热温度100</w:t>
      </w:r>
      <w:r>
        <w:rPr>
          <w:rFonts w:hint="eastAsia" w:ascii="宋体" w:hAnsi="宋体" w:eastAsia="宋体" w:cs="宋体"/>
          <w:color w:val="auto"/>
          <w:highlight w:val="none"/>
          <w:lang w:eastAsia="zh-CN"/>
        </w:rPr>
        <w:t> </w:t>
      </w:r>
      <w:r>
        <w:rPr>
          <w:rFonts w:hint="eastAsia" w:ascii="宋体" w:hAnsi="宋体" w:eastAsia="宋体" w:cs="宋体"/>
          <w:color w:val="auto"/>
          <w:highlight w:val="none"/>
        </w:rPr>
        <w:t>℃～150</w:t>
      </w:r>
      <w:r>
        <w:rPr>
          <w:rFonts w:hint="eastAsia" w:ascii="宋体" w:hAnsi="宋体" w:eastAsia="宋体" w:cs="宋体"/>
          <w:color w:val="auto"/>
          <w:highlight w:val="none"/>
          <w:lang w:eastAsia="zh-CN"/>
        </w:rPr>
        <w:t> </w:t>
      </w:r>
      <w:r>
        <w:rPr>
          <w:rFonts w:hint="eastAsia" w:ascii="宋体" w:hAnsi="宋体" w:eastAsia="宋体" w:cs="宋体"/>
          <w:color w:val="auto"/>
          <w:highlight w:val="none"/>
        </w:rPr>
        <w:t>℃。</w:t>
      </w:r>
      <w:bookmarkEnd w:id="163"/>
    </w:p>
    <w:p w14:paraId="13B4BEDA">
      <w:pPr>
        <w:pStyle w:val="106"/>
        <w:bidi w:val="0"/>
        <w:rPr>
          <w:rFonts w:hint="default"/>
          <w:lang w:val="en-US" w:eastAsia="zh-CN"/>
        </w:rPr>
      </w:pPr>
      <w:bookmarkStart w:id="164" w:name="_Toc2122"/>
      <w:bookmarkStart w:id="165" w:name="_Toc28283"/>
      <w:bookmarkStart w:id="166" w:name="_Toc29132"/>
      <w:bookmarkStart w:id="167" w:name="_Toc7562"/>
      <w:bookmarkStart w:id="168" w:name="_Toc2174"/>
      <w:bookmarkStart w:id="169" w:name="_Toc12131"/>
      <w:bookmarkStart w:id="170" w:name="_Toc10461"/>
      <w:bookmarkStart w:id="171" w:name="_Toc2964"/>
      <w:bookmarkStart w:id="172" w:name="_Toc21054"/>
      <w:r>
        <w:rPr>
          <w:rFonts w:hint="default"/>
        </w:rPr>
        <w:t>堆焊工艺参数</w:t>
      </w:r>
      <w:bookmarkEnd w:id="164"/>
      <w:bookmarkEnd w:id="165"/>
      <w:bookmarkEnd w:id="166"/>
      <w:bookmarkEnd w:id="167"/>
      <w:bookmarkEnd w:id="168"/>
      <w:bookmarkEnd w:id="169"/>
      <w:bookmarkEnd w:id="170"/>
      <w:bookmarkEnd w:id="171"/>
      <w:bookmarkEnd w:id="172"/>
    </w:p>
    <w:p w14:paraId="6710CD08">
      <w:pPr>
        <w:pStyle w:val="166"/>
        <w:bidi w:val="0"/>
        <w:rPr>
          <w:rFonts w:hint="eastAsia"/>
        </w:rPr>
      </w:pPr>
      <w:bookmarkStart w:id="173" w:name="_Toc17954"/>
      <w:bookmarkStart w:id="174" w:name="_Toc16867"/>
      <w:bookmarkStart w:id="175" w:name="_Toc29238"/>
      <w:bookmarkStart w:id="176" w:name="_Toc3058"/>
      <w:bookmarkStart w:id="177" w:name="_Toc16395"/>
      <w:bookmarkStart w:id="178" w:name="_Toc18526"/>
      <w:r>
        <w:rPr>
          <w:rFonts w:hint="eastAsia"/>
        </w:rPr>
        <w:t>手工电弧焊堆焊工艺参数</w:t>
      </w:r>
      <w:bookmarkEnd w:id="173"/>
      <w:bookmarkEnd w:id="174"/>
      <w:bookmarkEnd w:id="175"/>
      <w:bookmarkEnd w:id="176"/>
      <w:bookmarkEnd w:id="177"/>
      <w:bookmarkEnd w:id="178"/>
      <w:r>
        <w:rPr>
          <w:rFonts w:hint="eastAsia"/>
          <w:lang w:val="en-US" w:eastAsia="zh-CN"/>
        </w:rPr>
        <w:t>见</w:t>
      </w:r>
      <w:r>
        <w:rPr>
          <w:rFonts w:hint="default" w:ascii="宋体" w:hAnsi="宋体" w:eastAsia="宋体" w:cs="宋体"/>
          <w:sz w:val="21"/>
          <w:lang w:val="en-US" w:eastAsia="zh-CN" w:bidi="ar-SA"/>
        </w:rPr>
        <w:t>表</w:t>
      </w:r>
      <w:r>
        <w:rPr>
          <w:rFonts w:hint="eastAsia" w:hAnsi="宋体" w:cs="宋体"/>
          <w:sz w:val="21"/>
          <w:lang w:val="en-US" w:eastAsia="zh-CN" w:bidi="ar-SA"/>
        </w:rPr>
        <w:t>1</w:t>
      </w:r>
    </w:p>
    <w:p w14:paraId="3782A6B5">
      <w:pPr>
        <w:pStyle w:val="113"/>
        <w:bidi w:val="0"/>
      </w:pPr>
      <w:r>
        <w:rPr>
          <w:rFonts w:hint="default"/>
        </w:rPr>
        <w:t>手工电弧焊堆焊工艺参数</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592"/>
        <w:gridCol w:w="1592"/>
        <w:gridCol w:w="1592"/>
        <w:gridCol w:w="1592"/>
        <w:gridCol w:w="1593"/>
        <w:gridCol w:w="1593"/>
      </w:tblGrid>
      <w:tr w14:paraId="11A3C5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595" w:type="dxa"/>
            <w:tcBorders>
              <w:bottom w:val="single" w:color="auto" w:sz="8" w:space="0"/>
            </w:tcBorders>
            <w:vAlign w:val="center"/>
          </w:tcPr>
          <w:p w14:paraId="5DAA72F7">
            <w:pPr>
              <w:keepNext w:val="0"/>
              <w:keepLines w:val="0"/>
              <w:widowControl/>
              <w:suppressLineNumbers w:val="0"/>
              <w:spacing w:line="188" w:lineRule="atLeast"/>
              <w:jc w:val="center"/>
              <w:rPr>
                <w:rFonts w:hint="default" w:ascii="宋体" w:hAnsi="宋体" w:eastAsia="宋体" w:cs="宋体"/>
                <w:color w:val="auto"/>
                <w:kern w:val="0"/>
                <w:sz w:val="18"/>
                <w:szCs w:val="18"/>
                <w:lang w:val="en-US" w:eastAsia="zh-CN" w:bidi="ar"/>
              </w:rPr>
            </w:pPr>
            <w:r>
              <w:rPr>
                <w:rFonts w:hint="default" w:ascii="宋体" w:hAnsi="宋体" w:eastAsia="宋体" w:cs="宋体"/>
                <w:color w:val="auto"/>
                <w:kern w:val="0"/>
                <w:sz w:val="18"/>
                <w:szCs w:val="18"/>
                <w:lang w:val="en-US" w:eastAsia="zh-CN" w:bidi="ar"/>
              </w:rPr>
              <w:t>焊条直径</w:t>
            </w:r>
          </w:p>
          <w:p w14:paraId="04CAFAE0">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mm</w:t>
            </w:r>
          </w:p>
        </w:tc>
        <w:tc>
          <w:tcPr>
            <w:tcW w:w="1595" w:type="dxa"/>
            <w:tcBorders>
              <w:bottom w:val="single" w:color="auto" w:sz="8" w:space="0"/>
            </w:tcBorders>
            <w:vAlign w:val="center"/>
          </w:tcPr>
          <w:p w14:paraId="3199A0B2">
            <w:pPr>
              <w:keepNext w:val="0"/>
              <w:keepLines w:val="0"/>
              <w:widowControl/>
              <w:suppressLineNumbers w:val="0"/>
              <w:spacing w:line="188" w:lineRule="atLeast"/>
              <w:jc w:val="center"/>
              <w:rPr>
                <w:rFonts w:hint="default" w:ascii="宋体" w:hAnsi="宋体" w:eastAsia="宋体" w:cs="宋体"/>
                <w:color w:val="auto"/>
                <w:kern w:val="0"/>
                <w:sz w:val="18"/>
                <w:szCs w:val="18"/>
                <w:lang w:val="en-US" w:eastAsia="zh-CN" w:bidi="ar"/>
              </w:rPr>
            </w:pPr>
            <w:r>
              <w:rPr>
                <w:rFonts w:hint="default" w:ascii="宋体" w:hAnsi="宋体" w:eastAsia="宋体" w:cs="宋体"/>
                <w:color w:val="auto"/>
                <w:kern w:val="0"/>
                <w:sz w:val="18"/>
                <w:szCs w:val="18"/>
                <w:lang w:val="en-US" w:eastAsia="zh-CN" w:bidi="ar"/>
              </w:rPr>
              <w:t>焊接电</w:t>
            </w:r>
            <w:r>
              <w:rPr>
                <w:rFonts w:hint="eastAsia" w:ascii="宋体" w:hAnsi="宋体" w:cs="宋体"/>
                <w:color w:val="auto"/>
                <w:kern w:val="0"/>
                <w:sz w:val="18"/>
                <w:szCs w:val="18"/>
                <w:lang w:val="en-US" w:eastAsia="zh-CN" w:bidi="ar"/>
              </w:rPr>
              <w:t>流</w:t>
            </w:r>
          </w:p>
          <w:p w14:paraId="393CDD78">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A</w:t>
            </w:r>
          </w:p>
        </w:tc>
        <w:tc>
          <w:tcPr>
            <w:tcW w:w="1595" w:type="dxa"/>
            <w:tcBorders>
              <w:bottom w:val="single" w:color="auto" w:sz="8" w:space="0"/>
            </w:tcBorders>
            <w:vAlign w:val="center"/>
          </w:tcPr>
          <w:p w14:paraId="29349296">
            <w:pPr>
              <w:keepNext w:val="0"/>
              <w:keepLines w:val="0"/>
              <w:widowControl/>
              <w:suppressLineNumbers w:val="0"/>
              <w:spacing w:line="188" w:lineRule="atLeast"/>
              <w:jc w:val="center"/>
              <w:rPr>
                <w:rFonts w:hint="default" w:ascii="宋体" w:hAnsi="宋体" w:eastAsia="宋体" w:cs="宋体"/>
                <w:color w:val="auto"/>
                <w:kern w:val="0"/>
                <w:sz w:val="18"/>
                <w:szCs w:val="18"/>
                <w:lang w:val="en-US" w:eastAsia="zh-CN" w:bidi="ar"/>
              </w:rPr>
            </w:pPr>
            <w:r>
              <w:rPr>
                <w:rFonts w:hint="default" w:ascii="宋体" w:hAnsi="宋体" w:eastAsia="宋体" w:cs="宋体"/>
                <w:color w:val="auto"/>
                <w:kern w:val="0"/>
                <w:sz w:val="18"/>
                <w:szCs w:val="18"/>
                <w:lang w:val="en-US" w:eastAsia="zh-CN" w:bidi="ar"/>
              </w:rPr>
              <w:t>电弧电压</w:t>
            </w:r>
          </w:p>
          <w:p w14:paraId="341D0073">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V</w:t>
            </w:r>
          </w:p>
        </w:tc>
        <w:tc>
          <w:tcPr>
            <w:tcW w:w="1595" w:type="dxa"/>
            <w:tcBorders>
              <w:bottom w:val="single" w:color="auto" w:sz="8" w:space="0"/>
            </w:tcBorders>
            <w:vAlign w:val="center"/>
          </w:tcPr>
          <w:p w14:paraId="528FDC45">
            <w:pPr>
              <w:keepNext w:val="0"/>
              <w:keepLines w:val="0"/>
              <w:widowControl/>
              <w:suppressLineNumbers w:val="0"/>
              <w:spacing w:line="188" w:lineRule="atLeast"/>
              <w:jc w:val="center"/>
              <w:rPr>
                <w:rFonts w:hint="default" w:ascii="宋体" w:hAnsi="宋体" w:eastAsia="宋体" w:cs="宋体"/>
                <w:color w:val="auto"/>
                <w:kern w:val="0"/>
                <w:sz w:val="18"/>
                <w:szCs w:val="18"/>
                <w:lang w:val="en-US" w:eastAsia="zh-CN" w:bidi="ar"/>
              </w:rPr>
            </w:pPr>
            <w:r>
              <w:rPr>
                <w:rFonts w:hint="default" w:ascii="宋体" w:hAnsi="宋体" w:eastAsia="宋体" w:cs="宋体"/>
                <w:color w:val="auto"/>
                <w:kern w:val="0"/>
                <w:sz w:val="18"/>
                <w:szCs w:val="18"/>
                <w:lang w:val="en-US" w:eastAsia="zh-CN" w:bidi="ar"/>
              </w:rPr>
              <w:t>搭接率</w:t>
            </w:r>
          </w:p>
          <w:p w14:paraId="06275AFD">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w:t>
            </w:r>
          </w:p>
        </w:tc>
        <w:tc>
          <w:tcPr>
            <w:tcW w:w="1595" w:type="dxa"/>
            <w:tcBorders>
              <w:bottom w:val="single" w:color="auto" w:sz="8" w:space="0"/>
            </w:tcBorders>
            <w:vAlign w:val="center"/>
          </w:tcPr>
          <w:p w14:paraId="4DB61705">
            <w:pPr>
              <w:keepNext w:val="0"/>
              <w:keepLines w:val="0"/>
              <w:widowControl/>
              <w:suppressLineNumbers w:val="0"/>
              <w:spacing w:line="188" w:lineRule="atLeast"/>
              <w:jc w:val="center"/>
              <w:rPr>
                <w:rFonts w:hint="default" w:ascii="宋体" w:hAnsi="宋体" w:eastAsia="宋体" w:cs="宋体"/>
                <w:color w:val="auto"/>
                <w:kern w:val="0"/>
                <w:sz w:val="18"/>
                <w:szCs w:val="18"/>
                <w:lang w:val="en-US" w:eastAsia="zh-CN" w:bidi="ar"/>
              </w:rPr>
            </w:pPr>
            <w:r>
              <w:rPr>
                <w:rFonts w:hint="default" w:ascii="宋体" w:hAnsi="宋体" w:eastAsia="宋体" w:cs="宋体"/>
                <w:color w:val="auto"/>
                <w:kern w:val="0"/>
                <w:sz w:val="18"/>
                <w:szCs w:val="18"/>
                <w:lang w:val="en-US" w:eastAsia="zh-CN" w:bidi="ar"/>
              </w:rPr>
              <w:t>层间温度</w:t>
            </w:r>
          </w:p>
          <w:p w14:paraId="3B35219F">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w:t>
            </w:r>
          </w:p>
        </w:tc>
        <w:tc>
          <w:tcPr>
            <w:tcW w:w="1595" w:type="dxa"/>
            <w:tcBorders>
              <w:bottom w:val="single" w:color="auto" w:sz="8" w:space="0"/>
            </w:tcBorders>
            <w:vAlign w:val="center"/>
          </w:tcPr>
          <w:p w14:paraId="602BB2E8">
            <w:pPr>
              <w:keepNext w:val="0"/>
              <w:keepLines w:val="0"/>
              <w:widowControl/>
              <w:suppressLineNumbers w:val="0"/>
              <w:spacing w:line="188" w:lineRule="atLeast"/>
              <w:jc w:val="center"/>
              <w:rPr>
                <w:rFonts w:hint="default" w:ascii="宋体" w:hAnsi="宋体" w:eastAsia="宋体" w:cs="宋体"/>
                <w:color w:val="auto"/>
                <w:kern w:val="0"/>
                <w:sz w:val="18"/>
                <w:szCs w:val="18"/>
                <w:lang w:val="en-US" w:eastAsia="zh-CN" w:bidi="ar"/>
              </w:rPr>
            </w:pPr>
            <w:r>
              <w:rPr>
                <w:rFonts w:hint="default" w:ascii="宋体" w:hAnsi="宋体" w:eastAsia="宋体" w:cs="宋体"/>
                <w:color w:val="auto"/>
                <w:kern w:val="0"/>
                <w:sz w:val="18"/>
                <w:szCs w:val="18"/>
                <w:lang w:val="en-US" w:eastAsia="zh-CN" w:bidi="ar"/>
              </w:rPr>
              <w:t>焊条直径</w:t>
            </w:r>
          </w:p>
          <w:p w14:paraId="5D9BD328">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mm</w:t>
            </w:r>
          </w:p>
        </w:tc>
      </w:tr>
      <w:tr w14:paraId="1E395D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595" w:type="dxa"/>
            <w:tcBorders>
              <w:top w:val="single" w:color="auto" w:sz="8" w:space="0"/>
            </w:tcBorders>
            <w:vAlign w:val="center"/>
          </w:tcPr>
          <w:p w14:paraId="52BCFC90">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φ3.2</w:t>
            </w:r>
          </w:p>
        </w:tc>
        <w:tc>
          <w:tcPr>
            <w:tcW w:w="1595" w:type="dxa"/>
            <w:tcBorders>
              <w:top w:val="single" w:color="auto" w:sz="8" w:space="0"/>
            </w:tcBorders>
            <w:vAlign w:val="center"/>
          </w:tcPr>
          <w:p w14:paraId="1B800BBB">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90～120</w:t>
            </w:r>
          </w:p>
        </w:tc>
        <w:tc>
          <w:tcPr>
            <w:tcW w:w="1595" w:type="dxa"/>
            <w:tcBorders>
              <w:top w:val="single" w:color="auto" w:sz="8" w:space="0"/>
            </w:tcBorders>
            <w:vAlign w:val="center"/>
          </w:tcPr>
          <w:p w14:paraId="3AA74688">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22～25</w:t>
            </w:r>
          </w:p>
        </w:tc>
        <w:tc>
          <w:tcPr>
            <w:tcW w:w="1595" w:type="dxa"/>
            <w:tcBorders>
              <w:top w:val="single" w:color="auto" w:sz="8" w:space="0"/>
            </w:tcBorders>
            <w:vAlign w:val="center"/>
          </w:tcPr>
          <w:p w14:paraId="76B0A206">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30～50</w:t>
            </w:r>
          </w:p>
        </w:tc>
        <w:tc>
          <w:tcPr>
            <w:tcW w:w="1595" w:type="dxa"/>
            <w:tcBorders>
              <w:top w:val="single" w:color="auto" w:sz="8" w:space="0"/>
            </w:tcBorders>
            <w:vAlign w:val="center"/>
          </w:tcPr>
          <w:p w14:paraId="2E5673B3">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200～300</w:t>
            </w:r>
          </w:p>
        </w:tc>
        <w:tc>
          <w:tcPr>
            <w:tcW w:w="1595" w:type="dxa"/>
            <w:tcBorders>
              <w:top w:val="single" w:color="auto" w:sz="8" w:space="0"/>
            </w:tcBorders>
            <w:vAlign w:val="center"/>
          </w:tcPr>
          <w:p w14:paraId="284E26CB">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φ3.2</w:t>
            </w:r>
          </w:p>
        </w:tc>
      </w:tr>
      <w:tr w14:paraId="1036AF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595" w:type="dxa"/>
            <w:vAlign w:val="center"/>
          </w:tcPr>
          <w:p w14:paraId="3550514D">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φ4.0</w:t>
            </w:r>
          </w:p>
        </w:tc>
        <w:tc>
          <w:tcPr>
            <w:tcW w:w="1595" w:type="dxa"/>
            <w:vAlign w:val="center"/>
          </w:tcPr>
          <w:p w14:paraId="0D765BA1">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130～160</w:t>
            </w:r>
          </w:p>
        </w:tc>
        <w:tc>
          <w:tcPr>
            <w:tcW w:w="1595" w:type="dxa"/>
            <w:vAlign w:val="center"/>
          </w:tcPr>
          <w:p w14:paraId="7321C53D">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23～27</w:t>
            </w:r>
          </w:p>
        </w:tc>
        <w:tc>
          <w:tcPr>
            <w:tcW w:w="1595" w:type="dxa"/>
            <w:vAlign w:val="center"/>
          </w:tcPr>
          <w:p w14:paraId="682D2C1A">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30～50</w:t>
            </w:r>
          </w:p>
        </w:tc>
        <w:tc>
          <w:tcPr>
            <w:tcW w:w="1595" w:type="dxa"/>
            <w:vAlign w:val="center"/>
          </w:tcPr>
          <w:p w14:paraId="717F52DD">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200～300</w:t>
            </w:r>
          </w:p>
        </w:tc>
        <w:tc>
          <w:tcPr>
            <w:tcW w:w="1595" w:type="dxa"/>
            <w:vAlign w:val="center"/>
          </w:tcPr>
          <w:p w14:paraId="1334840D">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φ4.0</w:t>
            </w:r>
          </w:p>
        </w:tc>
      </w:tr>
      <w:tr w14:paraId="7F4B55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595" w:type="dxa"/>
            <w:vAlign w:val="center"/>
          </w:tcPr>
          <w:p w14:paraId="2B6F5735">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φ5.0</w:t>
            </w:r>
          </w:p>
        </w:tc>
        <w:tc>
          <w:tcPr>
            <w:tcW w:w="1595" w:type="dxa"/>
            <w:vAlign w:val="center"/>
          </w:tcPr>
          <w:p w14:paraId="10E81AE5">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170～210</w:t>
            </w:r>
          </w:p>
        </w:tc>
        <w:tc>
          <w:tcPr>
            <w:tcW w:w="1595" w:type="dxa"/>
            <w:vAlign w:val="center"/>
          </w:tcPr>
          <w:p w14:paraId="731BE720">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24～29</w:t>
            </w:r>
          </w:p>
        </w:tc>
        <w:tc>
          <w:tcPr>
            <w:tcW w:w="1595" w:type="dxa"/>
            <w:vAlign w:val="center"/>
          </w:tcPr>
          <w:p w14:paraId="2D688B95">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30～50</w:t>
            </w:r>
          </w:p>
        </w:tc>
        <w:tc>
          <w:tcPr>
            <w:tcW w:w="1595" w:type="dxa"/>
            <w:vAlign w:val="center"/>
          </w:tcPr>
          <w:p w14:paraId="652EB7E9">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200～300</w:t>
            </w:r>
          </w:p>
        </w:tc>
        <w:tc>
          <w:tcPr>
            <w:tcW w:w="1595" w:type="dxa"/>
            <w:vAlign w:val="center"/>
          </w:tcPr>
          <w:p w14:paraId="0C8763A6">
            <w:pPr>
              <w:keepNext w:val="0"/>
              <w:keepLines w:val="0"/>
              <w:widowControl/>
              <w:suppressLineNumbers w:val="0"/>
              <w:spacing w:line="188" w:lineRule="atLeast"/>
              <w:jc w:val="center"/>
              <w:rPr>
                <w:color w:val="auto"/>
              </w:rPr>
            </w:pPr>
            <w:r>
              <w:rPr>
                <w:rFonts w:hint="default" w:ascii="宋体" w:hAnsi="宋体" w:eastAsia="宋体" w:cs="宋体"/>
                <w:color w:val="auto"/>
                <w:kern w:val="0"/>
                <w:sz w:val="18"/>
                <w:szCs w:val="18"/>
                <w:lang w:val="en-US" w:eastAsia="zh-CN" w:bidi="ar"/>
              </w:rPr>
              <w:t>φ5.0</w:t>
            </w:r>
          </w:p>
        </w:tc>
      </w:tr>
    </w:tbl>
    <w:p w14:paraId="133476BF">
      <w:pPr>
        <w:pStyle w:val="166"/>
        <w:bidi w:val="0"/>
      </w:pPr>
      <w:bookmarkStart w:id="179" w:name="_Toc16298"/>
      <w:bookmarkStart w:id="180" w:name="_Toc321"/>
      <w:bookmarkStart w:id="181" w:name="_Toc26674"/>
      <w:bookmarkStart w:id="182" w:name="_Toc552"/>
      <w:bookmarkStart w:id="183" w:name="_Toc12956"/>
      <w:bookmarkStart w:id="184" w:name="_Toc12722"/>
      <w:r>
        <w:rPr>
          <w:rFonts w:hint="eastAsia"/>
          <w:lang w:val="en-US" w:eastAsia="zh-CN"/>
        </w:rPr>
        <w:t>手工</w:t>
      </w:r>
      <w:r>
        <w:rPr>
          <w:rFonts w:hint="default"/>
        </w:rPr>
        <w:t>MAG焊堆焊工艺参数</w:t>
      </w:r>
      <w:bookmarkEnd w:id="179"/>
      <w:bookmarkEnd w:id="180"/>
      <w:bookmarkEnd w:id="181"/>
      <w:bookmarkEnd w:id="182"/>
      <w:bookmarkEnd w:id="183"/>
      <w:bookmarkEnd w:id="184"/>
      <w:r>
        <w:rPr>
          <w:rFonts w:hint="default" w:ascii="宋体" w:hAnsi="宋体" w:eastAsia="宋体" w:cs="宋体"/>
          <w:sz w:val="21"/>
          <w:lang w:val="en-US" w:eastAsia="zh-CN" w:bidi="ar-SA"/>
        </w:rPr>
        <w:t>见表2</w:t>
      </w:r>
    </w:p>
    <w:p w14:paraId="4D9D9289">
      <w:pPr>
        <w:pStyle w:val="113"/>
        <w:bidi w:val="0"/>
        <w:rPr>
          <w:rFonts w:hint="default"/>
        </w:rPr>
      </w:pPr>
      <w:r>
        <w:rPr>
          <w:rFonts w:hint="eastAsia"/>
          <w:lang w:val="en-US" w:eastAsia="zh-CN"/>
        </w:rPr>
        <w:t>手工</w:t>
      </w:r>
      <w:r>
        <w:rPr>
          <w:rFonts w:hint="default"/>
        </w:rPr>
        <w:t>MAG焊堆焊工艺参数</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592"/>
        <w:gridCol w:w="1592"/>
        <w:gridCol w:w="1592"/>
        <w:gridCol w:w="1593"/>
        <w:gridCol w:w="1592"/>
        <w:gridCol w:w="1593"/>
      </w:tblGrid>
      <w:tr w14:paraId="767700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595" w:type="dxa"/>
            <w:tcBorders>
              <w:bottom w:val="single" w:color="auto" w:sz="8" w:space="0"/>
            </w:tcBorders>
            <w:vAlign w:val="center"/>
          </w:tcPr>
          <w:p w14:paraId="230E3888">
            <w:pPr>
              <w:keepNext w:val="0"/>
              <w:keepLines w:val="0"/>
              <w:widowControl/>
              <w:suppressLineNumbers w:val="0"/>
              <w:spacing w:line="188" w:lineRule="atLeast"/>
              <w:jc w:val="center"/>
              <w:rPr>
                <w:rFonts w:hint="default" w:ascii="宋体" w:hAnsi="宋体" w:eastAsia="宋体" w:cs="宋体"/>
                <w:color w:val="auto"/>
                <w:kern w:val="0"/>
                <w:sz w:val="18"/>
                <w:szCs w:val="18"/>
                <w:lang w:val="en-US" w:eastAsia="zh-CN" w:bidi="ar"/>
              </w:rPr>
            </w:pPr>
            <w:r>
              <w:rPr>
                <w:rFonts w:hint="default" w:ascii="宋体" w:hAnsi="宋体" w:eastAsia="宋体" w:cs="宋体"/>
                <w:color w:val="auto"/>
                <w:kern w:val="0"/>
                <w:sz w:val="18"/>
                <w:szCs w:val="18"/>
                <w:lang w:val="en-US" w:eastAsia="zh-CN" w:bidi="ar"/>
              </w:rPr>
              <w:t>焊丝直径</w:t>
            </w:r>
          </w:p>
          <w:p w14:paraId="316836FA">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mm</w:t>
            </w:r>
          </w:p>
        </w:tc>
        <w:tc>
          <w:tcPr>
            <w:tcW w:w="1595" w:type="dxa"/>
            <w:tcBorders>
              <w:bottom w:val="single" w:color="auto" w:sz="8" w:space="0"/>
            </w:tcBorders>
            <w:vAlign w:val="center"/>
          </w:tcPr>
          <w:p w14:paraId="77D650FC">
            <w:pPr>
              <w:keepNext w:val="0"/>
              <w:keepLines w:val="0"/>
              <w:widowControl/>
              <w:suppressLineNumbers w:val="0"/>
              <w:spacing w:line="188" w:lineRule="atLeast"/>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焊接</w:t>
            </w:r>
            <w:r>
              <w:rPr>
                <w:rFonts w:hint="default" w:ascii="宋体" w:hAnsi="宋体" w:eastAsia="宋体" w:cs="宋体"/>
                <w:color w:val="auto"/>
                <w:kern w:val="0"/>
                <w:sz w:val="18"/>
                <w:szCs w:val="18"/>
                <w:lang w:val="en-US" w:eastAsia="zh-CN" w:bidi="ar"/>
              </w:rPr>
              <w:t>电流</w:t>
            </w:r>
          </w:p>
          <w:p w14:paraId="27FB079D">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A</w:t>
            </w:r>
          </w:p>
        </w:tc>
        <w:tc>
          <w:tcPr>
            <w:tcW w:w="1595" w:type="dxa"/>
            <w:tcBorders>
              <w:bottom w:val="single" w:color="auto" w:sz="8" w:space="0"/>
            </w:tcBorders>
            <w:vAlign w:val="center"/>
          </w:tcPr>
          <w:p w14:paraId="3D8EC9A2">
            <w:pPr>
              <w:keepNext w:val="0"/>
              <w:keepLines w:val="0"/>
              <w:widowControl/>
              <w:suppressLineNumbers w:val="0"/>
              <w:spacing w:line="188" w:lineRule="atLeast"/>
              <w:jc w:val="center"/>
              <w:rPr>
                <w:rFonts w:hint="default" w:ascii="宋体" w:hAnsi="宋体" w:eastAsia="宋体" w:cs="宋体"/>
                <w:color w:val="auto"/>
                <w:kern w:val="0"/>
                <w:sz w:val="18"/>
                <w:szCs w:val="18"/>
                <w:lang w:val="en-US" w:eastAsia="zh-CN" w:bidi="ar"/>
              </w:rPr>
            </w:pPr>
            <w:r>
              <w:rPr>
                <w:rFonts w:hint="default" w:ascii="宋体" w:hAnsi="宋体" w:eastAsia="宋体" w:cs="宋体"/>
                <w:color w:val="auto"/>
                <w:kern w:val="0"/>
                <w:sz w:val="18"/>
                <w:szCs w:val="18"/>
                <w:lang w:val="en-US" w:eastAsia="zh-CN" w:bidi="ar"/>
              </w:rPr>
              <w:t>电弧电压</w:t>
            </w:r>
          </w:p>
          <w:p w14:paraId="621F7645">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V</w:t>
            </w:r>
          </w:p>
        </w:tc>
        <w:tc>
          <w:tcPr>
            <w:tcW w:w="1595" w:type="dxa"/>
            <w:tcBorders>
              <w:bottom w:val="single" w:color="auto" w:sz="8" w:space="0"/>
            </w:tcBorders>
            <w:vAlign w:val="center"/>
          </w:tcPr>
          <w:p w14:paraId="7A5A9780">
            <w:pPr>
              <w:keepNext w:val="0"/>
              <w:keepLines w:val="0"/>
              <w:widowControl/>
              <w:suppressLineNumbers w:val="0"/>
              <w:spacing w:line="188" w:lineRule="atLeast"/>
              <w:jc w:val="center"/>
              <w:rPr>
                <w:rFonts w:hint="eastAsia"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焊接</w:t>
            </w:r>
            <w:r>
              <w:rPr>
                <w:rFonts w:hint="default" w:ascii="宋体" w:hAnsi="宋体" w:eastAsia="宋体" w:cs="宋体"/>
                <w:color w:val="auto"/>
                <w:kern w:val="0"/>
                <w:sz w:val="18"/>
                <w:szCs w:val="18"/>
                <w:lang w:val="en-US" w:eastAsia="zh-CN" w:bidi="ar"/>
              </w:rPr>
              <w:t>速</w:t>
            </w:r>
            <w:r>
              <w:rPr>
                <w:rFonts w:hint="eastAsia" w:ascii="宋体" w:hAnsi="宋体" w:cs="宋体"/>
                <w:color w:val="auto"/>
                <w:kern w:val="0"/>
                <w:sz w:val="18"/>
                <w:szCs w:val="18"/>
                <w:lang w:val="en-US" w:eastAsia="zh-CN" w:bidi="ar"/>
              </w:rPr>
              <w:t>度</w:t>
            </w:r>
          </w:p>
          <w:p w14:paraId="2DF1B942">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mm/min</w:t>
            </w:r>
          </w:p>
        </w:tc>
        <w:tc>
          <w:tcPr>
            <w:tcW w:w="1595" w:type="dxa"/>
            <w:tcBorders>
              <w:bottom w:val="single" w:color="auto" w:sz="8" w:space="0"/>
            </w:tcBorders>
            <w:vAlign w:val="center"/>
          </w:tcPr>
          <w:p w14:paraId="7DE42811">
            <w:pPr>
              <w:keepNext w:val="0"/>
              <w:keepLines w:val="0"/>
              <w:widowControl/>
              <w:suppressLineNumbers w:val="0"/>
              <w:spacing w:line="188" w:lineRule="atLeast"/>
              <w:jc w:val="center"/>
              <w:rPr>
                <w:rFonts w:hint="default" w:ascii="宋体" w:hAnsi="宋体" w:eastAsia="宋体" w:cs="宋体"/>
                <w:color w:val="auto"/>
                <w:kern w:val="0"/>
                <w:sz w:val="18"/>
                <w:szCs w:val="18"/>
                <w:lang w:val="en-US" w:eastAsia="zh-CN" w:bidi="ar"/>
              </w:rPr>
            </w:pPr>
            <w:r>
              <w:rPr>
                <w:rFonts w:hint="default" w:ascii="宋体" w:hAnsi="宋体" w:eastAsia="宋体" w:cs="宋体"/>
                <w:color w:val="auto"/>
                <w:kern w:val="0"/>
                <w:sz w:val="18"/>
                <w:szCs w:val="18"/>
                <w:lang w:val="en-US" w:eastAsia="zh-CN" w:bidi="ar"/>
              </w:rPr>
              <w:t>搭接率</w:t>
            </w:r>
          </w:p>
          <w:p w14:paraId="068A2AF9">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w:t>
            </w:r>
          </w:p>
        </w:tc>
        <w:tc>
          <w:tcPr>
            <w:tcW w:w="1595" w:type="dxa"/>
            <w:tcBorders>
              <w:bottom w:val="single" w:color="auto" w:sz="8" w:space="0"/>
            </w:tcBorders>
            <w:vAlign w:val="center"/>
          </w:tcPr>
          <w:p w14:paraId="3463C56D">
            <w:pPr>
              <w:keepNext w:val="0"/>
              <w:keepLines w:val="0"/>
              <w:widowControl/>
              <w:suppressLineNumbers w:val="0"/>
              <w:spacing w:line="188" w:lineRule="atLeast"/>
              <w:jc w:val="center"/>
              <w:rPr>
                <w:rFonts w:hint="default" w:ascii="宋体" w:hAnsi="宋体" w:eastAsia="宋体" w:cs="宋体"/>
                <w:color w:val="auto"/>
                <w:kern w:val="0"/>
                <w:sz w:val="18"/>
                <w:szCs w:val="18"/>
                <w:lang w:val="en-US" w:eastAsia="zh-CN" w:bidi="ar"/>
              </w:rPr>
            </w:pPr>
            <w:r>
              <w:rPr>
                <w:rFonts w:hint="default" w:ascii="宋体" w:hAnsi="宋体" w:eastAsia="宋体" w:cs="宋体"/>
                <w:color w:val="auto"/>
                <w:kern w:val="0"/>
                <w:sz w:val="18"/>
                <w:szCs w:val="18"/>
                <w:lang w:val="en-US" w:eastAsia="zh-CN" w:bidi="ar"/>
              </w:rPr>
              <w:t>层间温度</w:t>
            </w:r>
          </w:p>
          <w:p w14:paraId="3B4E6A79">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w:t>
            </w:r>
          </w:p>
        </w:tc>
      </w:tr>
      <w:tr w14:paraId="1752A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595" w:type="dxa"/>
            <w:tcBorders>
              <w:top w:val="single" w:color="auto" w:sz="8" w:space="0"/>
            </w:tcBorders>
            <w:vAlign w:val="center"/>
          </w:tcPr>
          <w:p w14:paraId="43CF9BD5">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φ1.2</w:t>
            </w:r>
          </w:p>
        </w:tc>
        <w:tc>
          <w:tcPr>
            <w:tcW w:w="1595" w:type="dxa"/>
            <w:tcBorders>
              <w:top w:val="single" w:color="auto" w:sz="8" w:space="0"/>
            </w:tcBorders>
            <w:vAlign w:val="center"/>
          </w:tcPr>
          <w:p w14:paraId="4E7B3999">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160～210</w:t>
            </w:r>
          </w:p>
        </w:tc>
        <w:tc>
          <w:tcPr>
            <w:tcW w:w="1595" w:type="dxa"/>
            <w:tcBorders>
              <w:top w:val="single" w:color="auto" w:sz="8" w:space="0"/>
            </w:tcBorders>
            <w:vAlign w:val="center"/>
          </w:tcPr>
          <w:p w14:paraId="1D2BB0C9">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23～27</w:t>
            </w:r>
          </w:p>
        </w:tc>
        <w:tc>
          <w:tcPr>
            <w:tcW w:w="1595" w:type="dxa"/>
            <w:tcBorders>
              <w:top w:val="single" w:color="auto" w:sz="8" w:space="0"/>
            </w:tcBorders>
            <w:vAlign w:val="center"/>
          </w:tcPr>
          <w:p w14:paraId="21D0299F">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180～320</w:t>
            </w:r>
          </w:p>
        </w:tc>
        <w:tc>
          <w:tcPr>
            <w:tcW w:w="1595" w:type="dxa"/>
            <w:tcBorders>
              <w:top w:val="single" w:color="auto" w:sz="8" w:space="0"/>
            </w:tcBorders>
            <w:vAlign w:val="center"/>
          </w:tcPr>
          <w:p w14:paraId="08598C08">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30～50</w:t>
            </w:r>
          </w:p>
        </w:tc>
        <w:tc>
          <w:tcPr>
            <w:tcW w:w="1595" w:type="dxa"/>
            <w:tcBorders>
              <w:top w:val="single" w:color="auto" w:sz="8" w:space="0"/>
            </w:tcBorders>
            <w:vAlign w:val="center"/>
          </w:tcPr>
          <w:p w14:paraId="0E52016A">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200～300</w:t>
            </w:r>
          </w:p>
        </w:tc>
      </w:tr>
      <w:tr w14:paraId="42E4C1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595" w:type="dxa"/>
            <w:vAlign w:val="center"/>
          </w:tcPr>
          <w:p w14:paraId="70C7E632">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φ1.6</w:t>
            </w:r>
          </w:p>
        </w:tc>
        <w:tc>
          <w:tcPr>
            <w:tcW w:w="1595" w:type="dxa"/>
            <w:vAlign w:val="center"/>
          </w:tcPr>
          <w:p w14:paraId="1420CD63">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200～250</w:t>
            </w:r>
          </w:p>
        </w:tc>
        <w:tc>
          <w:tcPr>
            <w:tcW w:w="1595" w:type="dxa"/>
            <w:vAlign w:val="center"/>
          </w:tcPr>
          <w:p w14:paraId="2552657A">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25～29</w:t>
            </w:r>
          </w:p>
        </w:tc>
        <w:tc>
          <w:tcPr>
            <w:tcW w:w="1595" w:type="dxa"/>
            <w:vAlign w:val="center"/>
          </w:tcPr>
          <w:p w14:paraId="08FEDC0E">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220～360</w:t>
            </w:r>
          </w:p>
        </w:tc>
        <w:tc>
          <w:tcPr>
            <w:tcW w:w="1595" w:type="dxa"/>
            <w:vAlign w:val="center"/>
          </w:tcPr>
          <w:p w14:paraId="3BF3B72F">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30～50</w:t>
            </w:r>
          </w:p>
        </w:tc>
        <w:tc>
          <w:tcPr>
            <w:tcW w:w="1595" w:type="dxa"/>
            <w:vAlign w:val="center"/>
          </w:tcPr>
          <w:p w14:paraId="0A0ACFB5">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200～300</w:t>
            </w:r>
          </w:p>
        </w:tc>
      </w:tr>
    </w:tbl>
    <w:p w14:paraId="2B3454CB">
      <w:pPr>
        <w:pStyle w:val="166"/>
        <w:bidi w:val="0"/>
      </w:pPr>
      <w:bookmarkStart w:id="185" w:name="_Toc2424"/>
      <w:bookmarkStart w:id="186" w:name="_Toc12151"/>
      <w:bookmarkStart w:id="187" w:name="_Toc24522"/>
      <w:bookmarkStart w:id="188" w:name="_Toc31111"/>
      <w:bookmarkStart w:id="189" w:name="_Toc22867"/>
      <w:bookmarkStart w:id="190" w:name="_Toc2137"/>
      <w:r>
        <w:rPr>
          <w:rFonts w:hint="default"/>
        </w:rPr>
        <w:t>机器人自动MAG焊堆焊工艺参数</w:t>
      </w:r>
      <w:bookmarkEnd w:id="185"/>
      <w:bookmarkEnd w:id="186"/>
      <w:bookmarkEnd w:id="187"/>
      <w:bookmarkEnd w:id="188"/>
      <w:bookmarkEnd w:id="189"/>
      <w:bookmarkEnd w:id="190"/>
      <w:r>
        <w:rPr>
          <w:rFonts w:hint="default" w:ascii="宋体" w:hAnsi="宋体" w:eastAsia="宋体" w:cs="宋体"/>
          <w:sz w:val="21"/>
          <w:lang w:val="en-US" w:eastAsia="zh-CN" w:bidi="ar-SA"/>
        </w:rPr>
        <w:t>见表3</w:t>
      </w:r>
    </w:p>
    <w:p w14:paraId="78DAC4C8">
      <w:pPr>
        <w:pStyle w:val="113"/>
        <w:bidi w:val="0"/>
        <w:rPr>
          <w:rFonts w:hint="default"/>
        </w:rPr>
      </w:pPr>
      <w:r>
        <w:rPr>
          <w:rFonts w:hint="default"/>
        </w:rPr>
        <w:t>机器人自动MAG焊堆焊工艺参数</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592"/>
        <w:gridCol w:w="1592"/>
        <w:gridCol w:w="1592"/>
        <w:gridCol w:w="1593"/>
        <w:gridCol w:w="1592"/>
        <w:gridCol w:w="1593"/>
      </w:tblGrid>
      <w:tr w14:paraId="71DDFC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595" w:type="dxa"/>
            <w:tcBorders>
              <w:bottom w:val="single" w:color="auto" w:sz="8" w:space="0"/>
            </w:tcBorders>
            <w:vAlign w:val="center"/>
          </w:tcPr>
          <w:p w14:paraId="630AE5B5">
            <w:pPr>
              <w:keepNext w:val="0"/>
              <w:keepLines w:val="0"/>
              <w:widowControl/>
              <w:suppressLineNumbers w:val="0"/>
              <w:spacing w:line="188" w:lineRule="atLeast"/>
              <w:jc w:val="center"/>
              <w:rPr>
                <w:rFonts w:hint="default" w:ascii="宋体" w:hAnsi="宋体" w:eastAsia="宋体" w:cs="宋体"/>
                <w:color w:val="auto"/>
                <w:kern w:val="0"/>
                <w:sz w:val="18"/>
                <w:szCs w:val="18"/>
                <w:lang w:val="en-US" w:eastAsia="zh-CN" w:bidi="ar"/>
              </w:rPr>
            </w:pPr>
            <w:r>
              <w:rPr>
                <w:rFonts w:hint="default" w:ascii="宋体" w:hAnsi="宋体" w:eastAsia="宋体" w:cs="宋体"/>
                <w:color w:val="auto"/>
                <w:kern w:val="0"/>
                <w:sz w:val="18"/>
                <w:szCs w:val="18"/>
                <w:lang w:val="en-US" w:eastAsia="zh-CN" w:bidi="ar"/>
              </w:rPr>
              <w:t>焊丝直径</w:t>
            </w:r>
          </w:p>
          <w:p w14:paraId="021B59D8">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mm</w:t>
            </w:r>
          </w:p>
        </w:tc>
        <w:tc>
          <w:tcPr>
            <w:tcW w:w="1595" w:type="dxa"/>
            <w:tcBorders>
              <w:bottom w:val="single" w:color="auto" w:sz="8" w:space="0"/>
            </w:tcBorders>
            <w:vAlign w:val="center"/>
          </w:tcPr>
          <w:p w14:paraId="5F9E05C8">
            <w:pPr>
              <w:keepNext w:val="0"/>
              <w:keepLines w:val="0"/>
              <w:widowControl/>
              <w:suppressLineNumbers w:val="0"/>
              <w:spacing w:line="188" w:lineRule="atLeast"/>
              <w:jc w:val="center"/>
              <w:rPr>
                <w:rFonts w:hint="default" w:ascii="宋体" w:hAnsi="宋体" w:eastAsia="宋体" w:cs="宋体"/>
                <w:color w:val="auto"/>
                <w:kern w:val="0"/>
                <w:sz w:val="18"/>
                <w:szCs w:val="18"/>
                <w:lang w:val="en-US" w:eastAsia="zh-CN" w:bidi="ar"/>
              </w:rPr>
            </w:pPr>
            <w:r>
              <w:rPr>
                <w:rFonts w:hint="default" w:ascii="宋体" w:hAnsi="宋体" w:eastAsia="宋体" w:cs="宋体"/>
                <w:color w:val="auto"/>
                <w:kern w:val="0"/>
                <w:sz w:val="18"/>
                <w:szCs w:val="18"/>
                <w:lang w:val="en-US" w:eastAsia="zh-CN" w:bidi="ar"/>
              </w:rPr>
              <w:t>焊接电流</w:t>
            </w:r>
          </w:p>
          <w:p w14:paraId="42741E09">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A</w:t>
            </w:r>
          </w:p>
        </w:tc>
        <w:tc>
          <w:tcPr>
            <w:tcW w:w="1595" w:type="dxa"/>
            <w:tcBorders>
              <w:bottom w:val="single" w:color="auto" w:sz="8" w:space="0"/>
            </w:tcBorders>
            <w:vAlign w:val="center"/>
          </w:tcPr>
          <w:p w14:paraId="7D262BA7">
            <w:pPr>
              <w:keepNext w:val="0"/>
              <w:keepLines w:val="0"/>
              <w:widowControl/>
              <w:suppressLineNumbers w:val="0"/>
              <w:spacing w:line="188" w:lineRule="atLeast"/>
              <w:jc w:val="center"/>
              <w:rPr>
                <w:rFonts w:hint="default" w:ascii="宋体" w:hAnsi="宋体" w:eastAsia="宋体" w:cs="宋体"/>
                <w:color w:val="auto"/>
                <w:kern w:val="0"/>
                <w:sz w:val="18"/>
                <w:szCs w:val="18"/>
                <w:lang w:val="en-US" w:eastAsia="zh-CN" w:bidi="ar"/>
              </w:rPr>
            </w:pPr>
            <w:r>
              <w:rPr>
                <w:rFonts w:hint="default" w:ascii="宋体" w:hAnsi="宋体" w:eastAsia="宋体" w:cs="宋体"/>
                <w:color w:val="auto"/>
                <w:kern w:val="0"/>
                <w:sz w:val="18"/>
                <w:szCs w:val="18"/>
                <w:lang w:val="en-US" w:eastAsia="zh-CN" w:bidi="ar"/>
              </w:rPr>
              <w:t>电弧电压</w:t>
            </w:r>
          </w:p>
          <w:p w14:paraId="4D7B09FA">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V</w:t>
            </w:r>
          </w:p>
        </w:tc>
        <w:tc>
          <w:tcPr>
            <w:tcW w:w="1595" w:type="dxa"/>
            <w:tcBorders>
              <w:bottom w:val="single" w:color="auto" w:sz="8" w:space="0"/>
            </w:tcBorders>
            <w:vAlign w:val="center"/>
          </w:tcPr>
          <w:p w14:paraId="13E67270">
            <w:pPr>
              <w:keepNext w:val="0"/>
              <w:keepLines w:val="0"/>
              <w:widowControl/>
              <w:suppressLineNumbers w:val="0"/>
              <w:spacing w:line="188" w:lineRule="atLeast"/>
              <w:jc w:val="center"/>
              <w:rPr>
                <w:rFonts w:hint="default" w:ascii="宋体" w:hAnsi="宋体" w:eastAsia="宋体" w:cs="宋体"/>
                <w:color w:val="auto"/>
                <w:kern w:val="0"/>
                <w:sz w:val="18"/>
                <w:szCs w:val="18"/>
                <w:lang w:val="en-US" w:eastAsia="zh-CN" w:bidi="ar"/>
              </w:rPr>
            </w:pPr>
            <w:r>
              <w:rPr>
                <w:rFonts w:hint="default" w:ascii="宋体" w:hAnsi="宋体" w:eastAsia="宋体" w:cs="宋体"/>
                <w:color w:val="auto"/>
                <w:kern w:val="0"/>
                <w:sz w:val="18"/>
                <w:szCs w:val="18"/>
                <w:lang w:val="en-US" w:eastAsia="zh-CN" w:bidi="ar"/>
              </w:rPr>
              <w:t>焊接速度</w:t>
            </w:r>
          </w:p>
          <w:p w14:paraId="78F4B680">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mm/min</w:t>
            </w:r>
          </w:p>
        </w:tc>
        <w:tc>
          <w:tcPr>
            <w:tcW w:w="1595" w:type="dxa"/>
            <w:tcBorders>
              <w:bottom w:val="single" w:color="auto" w:sz="8" w:space="0"/>
            </w:tcBorders>
            <w:vAlign w:val="center"/>
          </w:tcPr>
          <w:p w14:paraId="2599D896">
            <w:pPr>
              <w:keepNext w:val="0"/>
              <w:keepLines w:val="0"/>
              <w:widowControl/>
              <w:suppressLineNumbers w:val="0"/>
              <w:spacing w:line="188" w:lineRule="atLeast"/>
              <w:jc w:val="center"/>
              <w:rPr>
                <w:rFonts w:hint="default" w:ascii="宋体" w:hAnsi="宋体" w:eastAsia="宋体" w:cs="宋体"/>
                <w:color w:val="auto"/>
                <w:kern w:val="0"/>
                <w:sz w:val="18"/>
                <w:szCs w:val="18"/>
                <w:lang w:val="en-US" w:eastAsia="zh-CN" w:bidi="ar"/>
              </w:rPr>
            </w:pPr>
            <w:r>
              <w:rPr>
                <w:rFonts w:hint="default" w:ascii="宋体" w:hAnsi="宋体" w:eastAsia="宋体" w:cs="宋体"/>
                <w:color w:val="auto"/>
                <w:kern w:val="0"/>
                <w:sz w:val="18"/>
                <w:szCs w:val="18"/>
                <w:lang w:val="en-US" w:eastAsia="zh-CN" w:bidi="ar"/>
              </w:rPr>
              <w:t>搭接率</w:t>
            </w:r>
          </w:p>
          <w:p w14:paraId="7418F426">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w:t>
            </w:r>
          </w:p>
        </w:tc>
        <w:tc>
          <w:tcPr>
            <w:tcW w:w="1595" w:type="dxa"/>
            <w:tcBorders>
              <w:bottom w:val="single" w:color="auto" w:sz="8" w:space="0"/>
            </w:tcBorders>
            <w:vAlign w:val="center"/>
          </w:tcPr>
          <w:p w14:paraId="31CDEA15">
            <w:pPr>
              <w:keepNext w:val="0"/>
              <w:keepLines w:val="0"/>
              <w:widowControl/>
              <w:suppressLineNumbers w:val="0"/>
              <w:spacing w:line="188" w:lineRule="atLeast"/>
              <w:jc w:val="center"/>
              <w:rPr>
                <w:rFonts w:hint="default" w:ascii="宋体" w:hAnsi="宋体" w:eastAsia="宋体" w:cs="宋体"/>
                <w:color w:val="auto"/>
                <w:kern w:val="0"/>
                <w:sz w:val="18"/>
                <w:szCs w:val="18"/>
                <w:lang w:val="en-US" w:eastAsia="zh-CN" w:bidi="ar"/>
              </w:rPr>
            </w:pPr>
            <w:r>
              <w:rPr>
                <w:rFonts w:hint="default" w:ascii="宋体" w:hAnsi="宋体" w:eastAsia="宋体" w:cs="宋体"/>
                <w:color w:val="auto"/>
                <w:kern w:val="0"/>
                <w:sz w:val="18"/>
                <w:szCs w:val="18"/>
                <w:lang w:val="en-US" w:eastAsia="zh-CN" w:bidi="ar"/>
              </w:rPr>
              <w:t>层间温度</w:t>
            </w:r>
          </w:p>
          <w:p w14:paraId="7FE5E96C">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w:t>
            </w:r>
          </w:p>
        </w:tc>
      </w:tr>
      <w:tr w14:paraId="2101AC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595" w:type="dxa"/>
            <w:tcBorders>
              <w:top w:val="single" w:color="auto" w:sz="8" w:space="0"/>
            </w:tcBorders>
            <w:vAlign w:val="center"/>
          </w:tcPr>
          <w:p w14:paraId="45641E0C">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φ1.2</w:t>
            </w:r>
          </w:p>
        </w:tc>
        <w:tc>
          <w:tcPr>
            <w:tcW w:w="1595" w:type="dxa"/>
            <w:tcBorders>
              <w:top w:val="single" w:color="auto" w:sz="8" w:space="0"/>
            </w:tcBorders>
            <w:vAlign w:val="center"/>
          </w:tcPr>
          <w:p w14:paraId="2522025F">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180～240</w:t>
            </w:r>
          </w:p>
        </w:tc>
        <w:tc>
          <w:tcPr>
            <w:tcW w:w="1595" w:type="dxa"/>
            <w:tcBorders>
              <w:top w:val="single" w:color="auto" w:sz="8" w:space="0"/>
            </w:tcBorders>
            <w:vAlign w:val="center"/>
          </w:tcPr>
          <w:p w14:paraId="63425BB7">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24～28</w:t>
            </w:r>
          </w:p>
        </w:tc>
        <w:tc>
          <w:tcPr>
            <w:tcW w:w="1595" w:type="dxa"/>
            <w:tcBorders>
              <w:top w:val="single" w:color="auto" w:sz="8" w:space="0"/>
            </w:tcBorders>
            <w:vAlign w:val="center"/>
          </w:tcPr>
          <w:p w14:paraId="7A25FC09">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200～350</w:t>
            </w:r>
          </w:p>
        </w:tc>
        <w:tc>
          <w:tcPr>
            <w:tcW w:w="1595" w:type="dxa"/>
            <w:tcBorders>
              <w:top w:val="single" w:color="auto" w:sz="8" w:space="0"/>
            </w:tcBorders>
            <w:vAlign w:val="center"/>
          </w:tcPr>
          <w:p w14:paraId="0D5AFCC5">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30～50</w:t>
            </w:r>
          </w:p>
        </w:tc>
        <w:tc>
          <w:tcPr>
            <w:tcW w:w="1595" w:type="dxa"/>
            <w:tcBorders>
              <w:top w:val="single" w:color="auto" w:sz="8" w:space="0"/>
            </w:tcBorders>
            <w:vAlign w:val="center"/>
          </w:tcPr>
          <w:p w14:paraId="4BC7422A">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200～300</w:t>
            </w:r>
          </w:p>
        </w:tc>
      </w:tr>
      <w:tr w14:paraId="4FEAAB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595" w:type="dxa"/>
            <w:vAlign w:val="center"/>
          </w:tcPr>
          <w:p w14:paraId="3527237D">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φ1.6</w:t>
            </w:r>
          </w:p>
        </w:tc>
        <w:tc>
          <w:tcPr>
            <w:tcW w:w="1595" w:type="dxa"/>
            <w:vAlign w:val="center"/>
          </w:tcPr>
          <w:p w14:paraId="7475063A">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220～280</w:t>
            </w:r>
          </w:p>
        </w:tc>
        <w:tc>
          <w:tcPr>
            <w:tcW w:w="1595" w:type="dxa"/>
            <w:vAlign w:val="center"/>
          </w:tcPr>
          <w:p w14:paraId="450E7715">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26～30</w:t>
            </w:r>
          </w:p>
        </w:tc>
        <w:tc>
          <w:tcPr>
            <w:tcW w:w="1595" w:type="dxa"/>
            <w:vAlign w:val="center"/>
          </w:tcPr>
          <w:p w14:paraId="4623B81A">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250～400</w:t>
            </w:r>
          </w:p>
        </w:tc>
        <w:tc>
          <w:tcPr>
            <w:tcW w:w="1595" w:type="dxa"/>
            <w:vAlign w:val="center"/>
          </w:tcPr>
          <w:p w14:paraId="1946E249">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30～50</w:t>
            </w:r>
          </w:p>
        </w:tc>
        <w:tc>
          <w:tcPr>
            <w:tcW w:w="1595" w:type="dxa"/>
            <w:vAlign w:val="center"/>
          </w:tcPr>
          <w:p w14:paraId="4DB64625">
            <w:pPr>
              <w:keepNext w:val="0"/>
              <w:keepLines w:val="0"/>
              <w:widowControl/>
              <w:suppressLineNumbers w:val="0"/>
              <w:spacing w:line="188" w:lineRule="atLeast"/>
              <w:jc w:val="center"/>
              <w:rPr>
                <w:rFonts w:hint="default"/>
                <w:color w:val="auto"/>
              </w:rPr>
            </w:pPr>
            <w:r>
              <w:rPr>
                <w:rFonts w:hint="default" w:ascii="宋体" w:hAnsi="宋体" w:eastAsia="宋体" w:cs="宋体"/>
                <w:color w:val="auto"/>
                <w:kern w:val="0"/>
                <w:sz w:val="18"/>
                <w:szCs w:val="18"/>
                <w:lang w:val="en-US" w:eastAsia="zh-CN" w:bidi="ar"/>
              </w:rPr>
              <w:t>200～300</w:t>
            </w:r>
          </w:p>
        </w:tc>
      </w:tr>
      <w:tr w14:paraId="6D7E2F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595" w:type="dxa"/>
            <w:vAlign w:val="center"/>
          </w:tcPr>
          <w:p w14:paraId="3D2D23DF">
            <w:pPr>
              <w:keepNext w:val="0"/>
              <w:keepLines w:val="0"/>
              <w:widowControl/>
              <w:suppressLineNumbers w:val="0"/>
              <w:spacing w:line="188" w:lineRule="atLeast"/>
              <w:jc w:val="center"/>
              <w:rPr>
                <w:rFonts w:hint="default"/>
              </w:rPr>
            </w:pPr>
            <w:r>
              <w:rPr>
                <w:rFonts w:hint="default" w:ascii="宋体" w:hAnsi="宋体" w:eastAsia="宋体" w:cs="宋体"/>
                <w:kern w:val="0"/>
                <w:sz w:val="18"/>
                <w:szCs w:val="18"/>
                <w:lang w:val="en-US" w:eastAsia="zh-CN" w:bidi="ar"/>
              </w:rPr>
              <w:t>φ2.0</w:t>
            </w:r>
          </w:p>
        </w:tc>
        <w:tc>
          <w:tcPr>
            <w:tcW w:w="1595" w:type="dxa"/>
            <w:vAlign w:val="center"/>
          </w:tcPr>
          <w:p w14:paraId="3363076D">
            <w:pPr>
              <w:keepNext w:val="0"/>
              <w:keepLines w:val="0"/>
              <w:widowControl/>
              <w:suppressLineNumbers w:val="0"/>
              <w:spacing w:line="188" w:lineRule="atLeast"/>
              <w:jc w:val="center"/>
              <w:rPr>
                <w:rFonts w:hint="default"/>
              </w:rPr>
            </w:pPr>
            <w:r>
              <w:rPr>
                <w:rFonts w:hint="default" w:ascii="宋体" w:hAnsi="宋体" w:eastAsia="宋体" w:cs="宋体"/>
                <w:kern w:val="0"/>
                <w:sz w:val="18"/>
                <w:szCs w:val="18"/>
                <w:lang w:val="en-US" w:eastAsia="zh-CN" w:bidi="ar"/>
              </w:rPr>
              <w:t>260～320</w:t>
            </w:r>
          </w:p>
        </w:tc>
        <w:tc>
          <w:tcPr>
            <w:tcW w:w="1595" w:type="dxa"/>
            <w:vAlign w:val="center"/>
          </w:tcPr>
          <w:p w14:paraId="2CB3110E">
            <w:pPr>
              <w:keepNext w:val="0"/>
              <w:keepLines w:val="0"/>
              <w:widowControl/>
              <w:suppressLineNumbers w:val="0"/>
              <w:spacing w:line="188" w:lineRule="atLeast"/>
              <w:jc w:val="center"/>
              <w:rPr>
                <w:rFonts w:hint="default"/>
              </w:rPr>
            </w:pPr>
            <w:r>
              <w:rPr>
                <w:rFonts w:hint="default" w:ascii="宋体" w:hAnsi="宋体" w:eastAsia="宋体" w:cs="宋体"/>
                <w:kern w:val="0"/>
                <w:sz w:val="18"/>
                <w:szCs w:val="18"/>
                <w:lang w:val="en-US" w:eastAsia="zh-CN" w:bidi="ar"/>
              </w:rPr>
              <w:t>28～32</w:t>
            </w:r>
          </w:p>
        </w:tc>
        <w:tc>
          <w:tcPr>
            <w:tcW w:w="1595" w:type="dxa"/>
            <w:vAlign w:val="center"/>
          </w:tcPr>
          <w:p w14:paraId="38F2BE32">
            <w:pPr>
              <w:keepNext w:val="0"/>
              <w:keepLines w:val="0"/>
              <w:widowControl/>
              <w:suppressLineNumbers w:val="0"/>
              <w:spacing w:line="188" w:lineRule="atLeast"/>
              <w:jc w:val="center"/>
              <w:rPr>
                <w:rFonts w:hint="default"/>
              </w:rPr>
            </w:pPr>
            <w:r>
              <w:rPr>
                <w:rFonts w:hint="default" w:ascii="宋体" w:hAnsi="宋体" w:eastAsia="宋体" w:cs="宋体"/>
                <w:kern w:val="0"/>
                <w:sz w:val="18"/>
                <w:szCs w:val="18"/>
                <w:lang w:val="en-US" w:eastAsia="zh-CN" w:bidi="ar"/>
              </w:rPr>
              <w:t>300～450</w:t>
            </w:r>
          </w:p>
        </w:tc>
        <w:tc>
          <w:tcPr>
            <w:tcW w:w="1595" w:type="dxa"/>
            <w:vAlign w:val="center"/>
          </w:tcPr>
          <w:p w14:paraId="28B917EF">
            <w:pPr>
              <w:keepNext w:val="0"/>
              <w:keepLines w:val="0"/>
              <w:widowControl/>
              <w:suppressLineNumbers w:val="0"/>
              <w:spacing w:line="188" w:lineRule="atLeast"/>
              <w:jc w:val="center"/>
              <w:rPr>
                <w:rFonts w:hint="default"/>
              </w:rPr>
            </w:pPr>
            <w:r>
              <w:rPr>
                <w:rFonts w:hint="default" w:ascii="宋体" w:hAnsi="宋体" w:eastAsia="宋体" w:cs="宋体"/>
                <w:kern w:val="0"/>
                <w:sz w:val="18"/>
                <w:szCs w:val="18"/>
                <w:lang w:val="en-US" w:eastAsia="zh-CN" w:bidi="ar"/>
              </w:rPr>
              <w:t>30～50</w:t>
            </w:r>
          </w:p>
        </w:tc>
        <w:tc>
          <w:tcPr>
            <w:tcW w:w="1595" w:type="dxa"/>
            <w:vAlign w:val="center"/>
          </w:tcPr>
          <w:p w14:paraId="0EBF1E65">
            <w:pPr>
              <w:keepNext w:val="0"/>
              <w:keepLines w:val="0"/>
              <w:widowControl/>
              <w:suppressLineNumbers w:val="0"/>
              <w:spacing w:line="188" w:lineRule="atLeast"/>
              <w:jc w:val="center"/>
              <w:rPr>
                <w:rFonts w:hint="default"/>
              </w:rPr>
            </w:pPr>
            <w:r>
              <w:rPr>
                <w:rFonts w:hint="default" w:ascii="宋体" w:hAnsi="宋体" w:eastAsia="宋体" w:cs="宋体"/>
                <w:kern w:val="0"/>
                <w:sz w:val="18"/>
                <w:szCs w:val="18"/>
                <w:lang w:val="en-US" w:eastAsia="zh-CN" w:bidi="ar"/>
              </w:rPr>
              <w:t>200～300</w:t>
            </w:r>
          </w:p>
        </w:tc>
      </w:tr>
    </w:tbl>
    <w:p w14:paraId="0F16E719">
      <w:pPr>
        <w:pStyle w:val="166"/>
        <w:bidi w:val="0"/>
      </w:pPr>
      <w:bookmarkStart w:id="191" w:name="_Toc26201"/>
      <w:bookmarkStart w:id="192" w:name="_Toc8378"/>
      <w:bookmarkStart w:id="193" w:name="_Toc25366"/>
      <w:bookmarkStart w:id="194" w:name="_Toc32295"/>
      <w:bookmarkStart w:id="195" w:name="_Toc10362"/>
      <w:bookmarkStart w:id="196" w:name="_Toc26126"/>
      <w:r>
        <w:rPr>
          <w:rFonts w:hint="default"/>
        </w:rPr>
        <w:t>等离子粉末熔覆工艺参数</w:t>
      </w:r>
      <w:bookmarkEnd w:id="191"/>
      <w:bookmarkEnd w:id="192"/>
      <w:bookmarkEnd w:id="193"/>
      <w:bookmarkEnd w:id="194"/>
      <w:bookmarkEnd w:id="195"/>
      <w:bookmarkEnd w:id="196"/>
      <w:r>
        <w:rPr>
          <w:rFonts w:hint="default" w:ascii="宋体" w:hAnsi="宋体" w:eastAsia="宋体" w:cs="宋体"/>
          <w:sz w:val="21"/>
          <w:lang w:val="en-US" w:eastAsia="zh-CN" w:bidi="ar-SA"/>
        </w:rPr>
        <w:t>见表4</w:t>
      </w:r>
    </w:p>
    <w:p w14:paraId="1D56B17D">
      <w:pPr>
        <w:pStyle w:val="113"/>
        <w:bidi w:val="0"/>
        <w:rPr>
          <w:rFonts w:hint="default"/>
        </w:rPr>
      </w:pPr>
      <w:r>
        <w:rPr>
          <w:rFonts w:hint="default"/>
        </w:rPr>
        <w:t>等离子粉末熔覆工艺参数</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2388"/>
        <w:gridCol w:w="2388"/>
        <w:gridCol w:w="2389"/>
        <w:gridCol w:w="2389"/>
      </w:tblGrid>
      <w:tr w14:paraId="791A95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2392" w:type="dxa"/>
            <w:tcBorders>
              <w:bottom w:val="single" w:color="auto" w:sz="8" w:space="0"/>
            </w:tcBorders>
            <w:vAlign w:val="center"/>
          </w:tcPr>
          <w:p w14:paraId="1D7700FC">
            <w:pPr>
              <w:keepNext w:val="0"/>
              <w:keepLines w:val="0"/>
              <w:widowControl/>
              <w:suppressLineNumbers w:val="0"/>
              <w:spacing w:line="188" w:lineRule="atLeast"/>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送粉量</w:t>
            </w:r>
          </w:p>
          <w:p w14:paraId="48731F1B">
            <w:pPr>
              <w:keepNext w:val="0"/>
              <w:keepLines w:val="0"/>
              <w:widowControl/>
              <w:suppressLineNumbers w:val="0"/>
              <w:spacing w:line="188" w:lineRule="atLeast"/>
              <w:jc w:val="center"/>
              <w:rPr>
                <w:rFonts w:hint="default"/>
                <w:color w:val="auto"/>
              </w:rPr>
            </w:pPr>
            <w:r>
              <w:rPr>
                <w:rFonts w:hint="eastAsia" w:ascii="宋体" w:hAnsi="宋体" w:eastAsia="宋体" w:cs="宋体"/>
                <w:color w:val="auto"/>
                <w:kern w:val="0"/>
                <w:sz w:val="18"/>
                <w:szCs w:val="18"/>
                <w:lang w:val="en-US" w:eastAsia="zh-CN" w:bidi="ar"/>
              </w:rPr>
              <w:t>g/min</w:t>
            </w:r>
          </w:p>
        </w:tc>
        <w:tc>
          <w:tcPr>
            <w:tcW w:w="2392" w:type="dxa"/>
            <w:tcBorders>
              <w:bottom w:val="single" w:color="auto" w:sz="8" w:space="0"/>
            </w:tcBorders>
            <w:vAlign w:val="center"/>
          </w:tcPr>
          <w:p w14:paraId="4183AAEA">
            <w:pPr>
              <w:keepNext w:val="0"/>
              <w:keepLines w:val="0"/>
              <w:widowControl/>
              <w:suppressLineNumbers w:val="0"/>
              <w:spacing w:line="188" w:lineRule="atLeast"/>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等离子电流</w:t>
            </w:r>
          </w:p>
          <w:p w14:paraId="7CD5C672">
            <w:pPr>
              <w:keepNext w:val="0"/>
              <w:keepLines w:val="0"/>
              <w:widowControl/>
              <w:suppressLineNumbers w:val="0"/>
              <w:spacing w:line="188" w:lineRule="atLeast"/>
              <w:jc w:val="center"/>
              <w:rPr>
                <w:rFonts w:hint="default"/>
                <w:color w:val="auto"/>
              </w:rPr>
            </w:pPr>
            <w:r>
              <w:rPr>
                <w:rFonts w:hint="eastAsia" w:ascii="宋体" w:hAnsi="宋体" w:eastAsia="宋体" w:cs="宋体"/>
                <w:color w:val="auto"/>
                <w:kern w:val="0"/>
                <w:sz w:val="18"/>
                <w:szCs w:val="18"/>
                <w:lang w:val="en-US" w:eastAsia="zh-CN" w:bidi="ar"/>
              </w:rPr>
              <w:t>A</w:t>
            </w:r>
          </w:p>
        </w:tc>
        <w:tc>
          <w:tcPr>
            <w:tcW w:w="2393" w:type="dxa"/>
            <w:tcBorders>
              <w:bottom w:val="single" w:color="auto" w:sz="8" w:space="0"/>
            </w:tcBorders>
            <w:vAlign w:val="center"/>
          </w:tcPr>
          <w:p w14:paraId="1C075F72">
            <w:pPr>
              <w:keepNext w:val="0"/>
              <w:keepLines w:val="0"/>
              <w:widowControl/>
              <w:suppressLineNumbers w:val="0"/>
              <w:spacing w:line="188" w:lineRule="atLeast"/>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电弧电压</w:t>
            </w:r>
          </w:p>
          <w:p w14:paraId="475ABC35">
            <w:pPr>
              <w:keepNext w:val="0"/>
              <w:keepLines w:val="0"/>
              <w:widowControl/>
              <w:suppressLineNumbers w:val="0"/>
              <w:spacing w:line="188" w:lineRule="atLeast"/>
              <w:jc w:val="center"/>
              <w:rPr>
                <w:rFonts w:hint="default"/>
                <w:color w:val="auto"/>
              </w:rPr>
            </w:pPr>
            <w:r>
              <w:rPr>
                <w:rFonts w:hint="eastAsia" w:ascii="宋体" w:hAnsi="宋体" w:eastAsia="宋体" w:cs="宋体"/>
                <w:color w:val="auto"/>
                <w:kern w:val="0"/>
                <w:sz w:val="18"/>
                <w:szCs w:val="18"/>
                <w:lang w:val="en-US" w:eastAsia="zh-CN" w:bidi="ar"/>
              </w:rPr>
              <w:t>V</w:t>
            </w:r>
          </w:p>
        </w:tc>
        <w:tc>
          <w:tcPr>
            <w:tcW w:w="2393" w:type="dxa"/>
            <w:tcBorders>
              <w:bottom w:val="single" w:color="auto" w:sz="8" w:space="0"/>
            </w:tcBorders>
            <w:vAlign w:val="center"/>
          </w:tcPr>
          <w:p w14:paraId="01E90460">
            <w:pPr>
              <w:keepNext w:val="0"/>
              <w:keepLines w:val="0"/>
              <w:widowControl/>
              <w:suppressLineNumbers w:val="0"/>
              <w:spacing w:line="188" w:lineRule="atLeast"/>
              <w:jc w:val="center"/>
              <w:rPr>
                <w:rFonts w:hint="eastAsia" w:ascii="宋体" w:hAnsi="宋体" w:cs="宋体"/>
                <w:color w:val="auto"/>
                <w:kern w:val="0"/>
                <w:sz w:val="18"/>
                <w:szCs w:val="18"/>
                <w:lang w:val="en-US" w:eastAsia="zh-CN" w:bidi="ar"/>
              </w:rPr>
            </w:pPr>
            <w:r>
              <w:rPr>
                <w:rFonts w:hint="eastAsia" w:ascii="宋体" w:hAnsi="宋体" w:cs="宋体"/>
                <w:color w:val="auto"/>
                <w:kern w:val="0"/>
                <w:sz w:val="18"/>
                <w:szCs w:val="18"/>
                <w:lang w:val="en-US" w:eastAsia="zh-CN" w:bidi="ar"/>
              </w:rPr>
              <w:t>稀释率</w:t>
            </w:r>
          </w:p>
          <w:p w14:paraId="51E616DE">
            <w:pPr>
              <w:keepNext w:val="0"/>
              <w:keepLines w:val="0"/>
              <w:widowControl/>
              <w:suppressLineNumbers w:val="0"/>
              <w:spacing w:line="188" w:lineRule="atLeast"/>
              <w:jc w:val="center"/>
              <w:rPr>
                <w:rFonts w:hint="default" w:ascii="宋体" w:hAnsi="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w:t>
            </w:r>
          </w:p>
        </w:tc>
      </w:tr>
      <w:tr w14:paraId="7F8FE2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92" w:type="dxa"/>
            <w:tcBorders>
              <w:top w:val="single" w:color="auto" w:sz="8" w:space="0"/>
            </w:tcBorders>
            <w:vAlign w:val="center"/>
          </w:tcPr>
          <w:p w14:paraId="2DBEE0FC">
            <w:pPr>
              <w:keepNext w:val="0"/>
              <w:keepLines w:val="0"/>
              <w:widowControl/>
              <w:suppressLineNumbers w:val="0"/>
              <w:spacing w:line="188" w:lineRule="atLeast"/>
              <w:jc w:val="center"/>
              <w:rPr>
                <w:rFonts w:hint="default"/>
                <w:color w:val="auto"/>
              </w:rPr>
            </w:pPr>
            <w:r>
              <w:rPr>
                <w:rFonts w:hint="eastAsia" w:ascii="宋体" w:hAnsi="宋体" w:eastAsia="宋体" w:cs="宋体"/>
                <w:color w:val="auto"/>
                <w:kern w:val="0"/>
                <w:sz w:val="18"/>
                <w:szCs w:val="18"/>
                <w:lang w:val="en-US" w:eastAsia="zh-CN" w:bidi="ar"/>
              </w:rPr>
              <w:t>15～25</w:t>
            </w:r>
          </w:p>
        </w:tc>
        <w:tc>
          <w:tcPr>
            <w:tcW w:w="2392" w:type="dxa"/>
            <w:tcBorders>
              <w:top w:val="single" w:color="auto" w:sz="8" w:space="0"/>
            </w:tcBorders>
            <w:vAlign w:val="center"/>
          </w:tcPr>
          <w:p w14:paraId="77482D8B">
            <w:pPr>
              <w:keepNext w:val="0"/>
              <w:keepLines w:val="0"/>
              <w:widowControl/>
              <w:suppressLineNumbers w:val="0"/>
              <w:spacing w:line="188" w:lineRule="atLeast"/>
              <w:jc w:val="center"/>
              <w:rPr>
                <w:rFonts w:hint="default"/>
                <w:color w:val="auto"/>
              </w:rPr>
            </w:pPr>
            <w:r>
              <w:rPr>
                <w:rFonts w:hint="eastAsia" w:ascii="宋体" w:hAnsi="宋体" w:eastAsia="宋体" w:cs="宋体"/>
                <w:color w:val="auto"/>
                <w:kern w:val="0"/>
                <w:sz w:val="18"/>
                <w:szCs w:val="18"/>
                <w:lang w:val="en-US" w:eastAsia="zh-CN" w:bidi="ar"/>
              </w:rPr>
              <w:t>100～140</w:t>
            </w:r>
          </w:p>
        </w:tc>
        <w:tc>
          <w:tcPr>
            <w:tcW w:w="2393" w:type="dxa"/>
            <w:tcBorders>
              <w:top w:val="single" w:color="auto" w:sz="8" w:space="0"/>
            </w:tcBorders>
            <w:vAlign w:val="center"/>
          </w:tcPr>
          <w:p w14:paraId="54F5C9DB">
            <w:pPr>
              <w:keepNext w:val="0"/>
              <w:keepLines w:val="0"/>
              <w:widowControl/>
              <w:suppressLineNumbers w:val="0"/>
              <w:spacing w:line="188" w:lineRule="atLeast"/>
              <w:jc w:val="center"/>
              <w:rPr>
                <w:rFonts w:hint="default"/>
                <w:color w:val="auto"/>
              </w:rPr>
            </w:pPr>
            <w:r>
              <w:rPr>
                <w:rFonts w:hint="eastAsia" w:ascii="宋体" w:hAnsi="宋体" w:eastAsia="宋体" w:cs="宋体"/>
                <w:color w:val="auto"/>
                <w:kern w:val="0"/>
                <w:sz w:val="18"/>
                <w:szCs w:val="18"/>
                <w:lang w:val="en-US" w:eastAsia="zh-CN" w:bidi="ar"/>
              </w:rPr>
              <w:t>28～32</w:t>
            </w:r>
          </w:p>
        </w:tc>
        <w:tc>
          <w:tcPr>
            <w:tcW w:w="2393" w:type="dxa"/>
            <w:tcBorders>
              <w:top w:val="single" w:color="auto" w:sz="8" w:space="0"/>
            </w:tcBorders>
            <w:vAlign w:val="center"/>
          </w:tcPr>
          <w:p w14:paraId="4C331E1F">
            <w:pPr>
              <w:keepNext w:val="0"/>
              <w:keepLines w:val="0"/>
              <w:widowControl/>
              <w:suppressLineNumbers w:val="0"/>
              <w:spacing w:line="188" w:lineRule="atLeast"/>
              <w:jc w:val="center"/>
              <w:rPr>
                <w:rFonts w:hint="default"/>
                <w:color w:val="auto"/>
              </w:rPr>
            </w:pPr>
            <w:r>
              <w:rPr>
                <w:rFonts w:hint="eastAsia" w:ascii="宋体" w:hAnsi="宋体" w:eastAsia="宋体" w:cs="宋体"/>
                <w:color w:val="auto"/>
                <w:kern w:val="0"/>
                <w:sz w:val="18"/>
                <w:szCs w:val="18"/>
                <w:lang w:val="en-US" w:eastAsia="zh-CN" w:bidi="ar"/>
              </w:rPr>
              <w:t>2～10</w:t>
            </w:r>
          </w:p>
        </w:tc>
      </w:tr>
      <w:tr w14:paraId="12D870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92" w:type="dxa"/>
            <w:vAlign w:val="center"/>
          </w:tcPr>
          <w:p w14:paraId="4373BB8E">
            <w:pPr>
              <w:keepNext w:val="0"/>
              <w:keepLines w:val="0"/>
              <w:widowControl/>
              <w:suppressLineNumbers w:val="0"/>
              <w:spacing w:line="188" w:lineRule="atLeast"/>
              <w:jc w:val="center"/>
              <w:rPr>
                <w:rFonts w:hint="default"/>
                <w:color w:val="auto"/>
              </w:rPr>
            </w:pPr>
            <w:r>
              <w:rPr>
                <w:rFonts w:hint="eastAsia" w:ascii="宋体" w:hAnsi="宋体" w:eastAsia="宋体" w:cs="宋体"/>
                <w:color w:val="auto"/>
                <w:kern w:val="0"/>
                <w:sz w:val="18"/>
                <w:szCs w:val="18"/>
                <w:lang w:val="en-US" w:eastAsia="zh-CN" w:bidi="ar"/>
              </w:rPr>
              <w:t>25～40</w:t>
            </w:r>
          </w:p>
        </w:tc>
        <w:tc>
          <w:tcPr>
            <w:tcW w:w="2392" w:type="dxa"/>
            <w:vAlign w:val="center"/>
          </w:tcPr>
          <w:p w14:paraId="6D769DC6">
            <w:pPr>
              <w:keepNext w:val="0"/>
              <w:keepLines w:val="0"/>
              <w:widowControl/>
              <w:suppressLineNumbers w:val="0"/>
              <w:spacing w:line="188" w:lineRule="atLeast"/>
              <w:jc w:val="center"/>
              <w:rPr>
                <w:rFonts w:hint="default"/>
                <w:color w:val="auto"/>
              </w:rPr>
            </w:pPr>
            <w:r>
              <w:rPr>
                <w:rFonts w:hint="eastAsia" w:ascii="宋体" w:hAnsi="宋体" w:eastAsia="宋体" w:cs="宋体"/>
                <w:color w:val="auto"/>
                <w:kern w:val="0"/>
                <w:sz w:val="18"/>
                <w:szCs w:val="18"/>
                <w:lang w:val="en-US" w:eastAsia="zh-CN" w:bidi="ar"/>
              </w:rPr>
              <w:t>140～180</w:t>
            </w:r>
          </w:p>
        </w:tc>
        <w:tc>
          <w:tcPr>
            <w:tcW w:w="2393" w:type="dxa"/>
            <w:vAlign w:val="center"/>
          </w:tcPr>
          <w:p w14:paraId="188C093D">
            <w:pPr>
              <w:keepNext w:val="0"/>
              <w:keepLines w:val="0"/>
              <w:widowControl/>
              <w:suppressLineNumbers w:val="0"/>
              <w:spacing w:line="188" w:lineRule="atLeast"/>
              <w:jc w:val="center"/>
              <w:rPr>
                <w:rFonts w:hint="default"/>
                <w:color w:val="auto"/>
              </w:rPr>
            </w:pPr>
            <w:r>
              <w:rPr>
                <w:rFonts w:hint="eastAsia" w:ascii="宋体" w:hAnsi="宋体" w:eastAsia="宋体" w:cs="宋体"/>
                <w:color w:val="auto"/>
                <w:kern w:val="0"/>
                <w:sz w:val="18"/>
                <w:szCs w:val="18"/>
                <w:lang w:val="en-US" w:eastAsia="zh-CN" w:bidi="ar"/>
              </w:rPr>
              <w:t>30～35</w:t>
            </w:r>
          </w:p>
        </w:tc>
        <w:tc>
          <w:tcPr>
            <w:tcW w:w="2393" w:type="dxa"/>
            <w:vAlign w:val="center"/>
          </w:tcPr>
          <w:p w14:paraId="1FB2B325">
            <w:pPr>
              <w:keepNext w:val="0"/>
              <w:keepLines w:val="0"/>
              <w:widowControl/>
              <w:suppressLineNumbers w:val="0"/>
              <w:spacing w:line="188" w:lineRule="atLeast"/>
              <w:jc w:val="center"/>
              <w:rPr>
                <w:rFonts w:hint="default"/>
                <w:color w:val="auto"/>
              </w:rPr>
            </w:pPr>
            <w:r>
              <w:rPr>
                <w:rFonts w:hint="eastAsia" w:ascii="宋体" w:hAnsi="宋体" w:eastAsia="宋体" w:cs="宋体"/>
                <w:color w:val="auto"/>
                <w:kern w:val="0"/>
                <w:sz w:val="18"/>
                <w:szCs w:val="18"/>
                <w:lang w:val="en-US" w:eastAsia="zh-CN" w:bidi="ar"/>
              </w:rPr>
              <w:t>2～10</w:t>
            </w:r>
          </w:p>
        </w:tc>
      </w:tr>
    </w:tbl>
    <w:p w14:paraId="37B33C6B">
      <w:pPr>
        <w:pStyle w:val="106"/>
        <w:bidi w:val="0"/>
        <w:ind w:left="0" w:leftChars="0" w:firstLine="0" w:firstLineChars="0"/>
      </w:pPr>
      <w:bookmarkStart w:id="197" w:name="_Toc17073"/>
      <w:bookmarkStart w:id="198" w:name="_Toc10712"/>
      <w:bookmarkStart w:id="199" w:name="_Toc25074"/>
      <w:bookmarkStart w:id="200" w:name="_Toc8912"/>
      <w:bookmarkStart w:id="201" w:name="_Toc21036"/>
      <w:bookmarkStart w:id="202" w:name="_Toc28986"/>
      <w:bookmarkStart w:id="203" w:name="_Toc10404"/>
      <w:bookmarkStart w:id="204" w:name="_Toc30241"/>
      <w:bookmarkStart w:id="205" w:name="_Toc26070"/>
      <w:r>
        <w:rPr>
          <w:rFonts w:hint="default"/>
        </w:rPr>
        <w:t>参数选用要求</w:t>
      </w:r>
      <w:bookmarkEnd w:id="197"/>
      <w:bookmarkEnd w:id="198"/>
      <w:bookmarkEnd w:id="199"/>
      <w:bookmarkEnd w:id="200"/>
      <w:bookmarkEnd w:id="201"/>
      <w:bookmarkEnd w:id="202"/>
      <w:bookmarkEnd w:id="203"/>
      <w:bookmarkEnd w:id="204"/>
      <w:bookmarkEnd w:id="205"/>
    </w:p>
    <w:p w14:paraId="5EF632E3">
      <w:pPr>
        <w:pStyle w:val="66"/>
        <w:bidi w:val="0"/>
        <w:ind w:left="0" w:leftChars="0" w:firstLine="0" w:firstLineChars="0"/>
        <w:rPr>
          <w:rFonts w:hint="eastAsia" w:ascii="宋体" w:hAnsi="宋体" w:eastAsia="宋体" w:cs="宋体"/>
          <w:highlight w:val="none"/>
        </w:rPr>
      </w:pPr>
      <w:r>
        <w:rPr>
          <w:rFonts w:hint="eastAsia" w:ascii="宋体" w:hAnsi="宋体" w:eastAsia="宋体" w:cs="宋体"/>
          <w:highlight w:val="none"/>
          <w:lang w:eastAsia="zh-CN"/>
        </w:rPr>
        <w:t>打底焊</w:t>
      </w:r>
      <w:r>
        <w:rPr>
          <w:rFonts w:hint="eastAsia" w:ascii="宋体" w:hAnsi="宋体" w:eastAsia="宋体" w:cs="宋体"/>
          <w:highlight w:val="none"/>
          <w:lang w:val="en-US" w:eastAsia="zh-CN"/>
        </w:rPr>
        <w:t>参数宜</w:t>
      </w:r>
      <w:r>
        <w:rPr>
          <w:rFonts w:hint="eastAsia" w:ascii="宋体" w:hAnsi="宋体" w:eastAsia="宋体" w:cs="宋体"/>
          <w:highlight w:val="none"/>
        </w:rPr>
        <w:t>选用参数区间下限值</w:t>
      </w:r>
    </w:p>
    <w:p w14:paraId="70ED95BA">
      <w:pPr>
        <w:pStyle w:val="66"/>
        <w:bidi w:val="0"/>
        <w:ind w:left="0" w:leftChars="0" w:firstLine="0" w:firstLineChars="0"/>
        <w:rPr>
          <w:rFonts w:hint="eastAsia" w:ascii="宋体" w:hAnsi="宋体" w:eastAsia="宋体" w:cs="宋体"/>
          <w:highlight w:val="none"/>
        </w:rPr>
      </w:pPr>
      <w:r>
        <w:rPr>
          <w:rFonts w:hint="eastAsia" w:ascii="宋体" w:hAnsi="宋体" w:eastAsia="宋体" w:cs="宋体"/>
          <w:highlight w:val="none"/>
        </w:rPr>
        <w:t>耐磨</w:t>
      </w:r>
      <w:r>
        <w:rPr>
          <w:rFonts w:hint="eastAsia" w:ascii="宋体" w:hAnsi="宋体" w:eastAsia="宋体" w:cs="宋体"/>
          <w:highlight w:val="none"/>
          <w:lang w:eastAsia="zh-CN"/>
        </w:rPr>
        <w:t>堆焊层</w:t>
      </w:r>
      <w:r>
        <w:rPr>
          <w:rFonts w:hint="eastAsia" w:ascii="宋体" w:hAnsi="宋体" w:eastAsia="宋体" w:cs="宋体"/>
          <w:highlight w:val="none"/>
          <w:lang w:val="en-US" w:eastAsia="zh-CN"/>
        </w:rPr>
        <w:t>宜</w:t>
      </w:r>
      <w:r>
        <w:rPr>
          <w:rFonts w:hint="eastAsia" w:ascii="宋体" w:hAnsi="宋体" w:eastAsia="宋体" w:cs="宋体"/>
          <w:highlight w:val="none"/>
        </w:rPr>
        <w:t>选用参数区间中值至上限值之间的参数</w:t>
      </w:r>
    </w:p>
    <w:p w14:paraId="6D5B76DA">
      <w:pPr>
        <w:pStyle w:val="66"/>
        <w:bidi w:val="0"/>
        <w:ind w:left="0" w:leftChars="0" w:firstLine="0" w:firstLineChars="0"/>
        <w:rPr>
          <w:rFonts w:hint="eastAsia" w:ascii="宋体" w:hAnsi="宋体" w:eastAsia="宋体" w:cs="宋体"/>
          <w:highlight w:val="none"/>
        </w:rPr>
      </w:pPr>
      <w:bookmarkStart w:id="206" w:name="_Toc11752"/>
      <w:r>
        <w:rPr>
          <w:rFonts w:hint="eastAsia" w:ascii="宋体" w:hAnsi="宋体" w:eastAsia="宋体" w:cs="宋体"/>
          <w:highlight w:val="none"/>
        </w:rPr>
        <w:t>不同厂家焊材或粉末可在表1～表4所列参数区间的基础上对单项参数进行±10%范围内的调整。调整后应完成工艺验证，并应留存验证记录。</w:t>
      </w:r>
      <w:bookmarkEnd w:id="206"/>
    </w:p>
    <w:p w14:paraId="69C433CD">
      <w:pPr>
        <w:pStyle w:val="106"/>
        <w:bidi w:val="0"/>
        <w:ind w:left="0" w:leftChars="0" w:firstLine="0" w:firstLineChars="0"/>
        <w:rPr>
          <w:rFonts w:hint="default"/>
        </w:rPr>
      </w:pPr>
      <w:bookmarkStart w:id="207" w:name="_Toc16489"/>
      <w:bookmarkStart w:id="208" w:name="_Toc7012"/>
      <w:r>
        <w:rPr>
          <w:rFonts w:hint="default"/>
        </w:rPr>
        <w:t>堆焊层厚度控制要求</w:t>
      </w:r>
      <w:bookmarkEnd w:id="207"/>
      <w:bookmarkEnd w:id="208"/>
    </w:p>
    <w:p w14:paraId="66601474">
      <w:pPr>
        <w:pStyle w:val="25"/>
        <w:keepNext w:val="0"/>
        <w:keepLines w:val="0"/>
        <w:pageBreakBefore w:val="0"/>
        <w:widowControl/>
        <w:suppressLineNumbers w:val="0"/>
        <w:shd w:val="clear"/>
        <w:kinsoku/>
        <w:wordWrap/>
        <w:overflowPunct/>
        <w:topLinePunct w:val="0"/>
        <w:autoSpaceDE/>
        <w:autoSpaceDN/>
        <w:bidi w:val="0"/>
        <w:adjustRightInd w:val="0"/>
        <w:snapToGrid/>
        <w:spacing w:before="120" w:beforeAutospacing="0" w:after="120" w:afterAutospacing="0"/>
        <w:ind w:left="0" w:right="0" w:firstLine="420" w:firstLineChars="200"/>
        <w:textAlignment w:val="auto"/>
        <w:rPr>
          <w:rFonts w:hint="default" w:ascii="宋体" w:hAnsi="宋体" w:eastAsia="宋体" w:cs="宋体"/>
          <w:sz w:val="21"/>
          <w:lang w:val="en-US" w:eastAsia="zh-CN" w:bidi="ar-SA"/>
        </w:rPr>
      </w:pPr>
      <w:r>
        <w:rPr>
          <w:rFonts w:hint="default" w:ascii="宋体" w:hAnsi="宋体" w:eastAsia="宋体" w:cs="宋体"/>
          <w:sz w:val="21"/>
          <w:lang w:val="en-US" w:eastAsia="zh-CN" w:bidi="ar-SA"/>
        </w:rPr>
        <w:t>应满足以下要求：</w:t>
      </w:r>
    </w:p>
    <w:p w14:paraId="4CA76025">
      <w:pPr>
        <w:pStyle w:val="175"/>
        <w:numPr>
          <w:ilvl w:val="0"/>
          <w:numId w:val="38"/>
        </w:numPr>
        <w:bidi w:val="0"/>
        <w:ind w:left="851" w:leftChars="0" w:hanging="426" w:firstLineChars="0"/>
        <w:rPr>
          <w:rFonts w:hint="default" w:ascii="宋体" w:hAnsi="宋体" w:eastAsia="宋体" w:cs="宋体"/>
          <w:sz w:val="21"/>
          <w:lang w:val="en-US" w:eastAsia="zh-CN" w:bidi="ar-SA"/>
        </w:rPr>
      </w:pPr>
      <w:r>
        <w:rPr>
          <w:rFonts w:hint="default" w:ascii="宋体" w:hAnsi="宋体" w:eastAsia="宋体" w:cs="宋体"/>
          <w:sz w:val="21"/>
          <w:lang w:val="en-US" w:eastAsia="zh-CN" w:bidi="ar-SA"/>
        </w:rPr>
        <w:t>打底层厚度为3</w:t>
      </w:r>
      <w:r>
        <w:rPr>
          <w:rFonts w:hint="eastAsia" w:hAnsi="宋体" w:cs="宋体"/>
          <w:sz w:val="21"/>
          <w:lang w:val="en-US" w:eastAsia="zh-CN" w:bidi="ar-SA"/>
        </w:rPr>
        <w:t> </w:t>
      </w:r>
      <w:r>
        <w:rPr>
          <w:rFonts w:hint="default" w:ascii="宋体" w:hAnsi="宋体" w:eastAsia="宋体" w:cs="宋体"/>
          <w:sz w:val="21"/>
          <w:lang w:val="en-US" w:eastAsia="zh-CN" w:bidi="ar-SA"/>
        </w:rPr>
        <w:t>mm～5</w:t>
      </w:r>
      <w:r>
        <w:rPr>
          <w:rFonts w:hint="eastAsia" w:hAnsi="宋体" w:cs="宋体"/>
          <w:sz w:val="21"/>
          <w:lang w:val="en-US" w:eastAsia="zh-CN" w:bidi="ar-SA"/>
        </w:rPr>
        <w:t> </w:t>
      </w:r>
      <w:r>
        <w:rPr>
          <w:rFonts w:hint="default" w:ascii="宋体" w:hAnsi="宋体" w:eastAsia="宋体" w:cs="宋体"/>
          <w:sz w:val="21"/>
          <w:lang w:val="en-US" w:eastAsia="zh-CN" w:bidi="ar-SA"/>
        </w:rPr>
        <w:t>mm；</w:t>
      </w:r>
    </w:p>
    <w:p w14:paraId="4F078406">
      <w:pPr>
        <w:pStyle w:val="175"/>
        <w:bidi w:val="0"/>
        <w:rPr>
          <w:rFonts w:hint="default" w:ascii="宋体" w:hAnsi="宋体" w:eastAsia="宋体" w:cs="宋体"/>
          <w:sz w:val="21"/>
          <w:lang w:val="en-US" w:eastAsia="zh-CN" w:bidi="ar-SA"/>
        </w:rPr>
      </w:pPr>
      <w:r>
        <w:rPr>
          <w:rFonts w:hint="default" w:ascii="宋体" w:hAnsi="宋体" w:eastAsia="宋体" w:cs="宋体"/>
          <w:sz w:val="21"/>
          <w:lang w:val="en-US" w:eastAsia="zh-CN" w:bidi="ar-SA"/>
        </w:rPr>
        <w:t>耐磨堆焊层总厚度为10</w:t>
      </w:r>
      <w:r>
        <w:rPr>
          <w:rFonts w:hint="eastAsia" w:hAnsi="宋体" w:cs="宋体"/>
          <w:sz w:val="21"/>
          <w:lang w:val="en-US" w:eastAsia="zh-CN" w:bidi="ar-SA"/>
        </w:rPr>
        <w:t> </w:t>
      </w:r>
      <w:r>
        <w:rPr>
          <w:rFonts w:hint="default" w:ascii="宋体" w:hAnsi="宋体" w:eastAsia="宋体" w:cs="宋体"/>
          <w:sz w:val="21"/>
          <w:lang w:val="en-US" w:eastAsia="zh-CN" w:bidi="ar-SA"/>
        </w:rPr>
        <w:t>mm～15</w:t>
      </w:r>
      <w:r>
        <w:rPr>
          <w:rFonts w:hint="eastAsia" w:hAnsi="宋体" w:cs="宋体"/>
          <w:sz w:val="21"/>
          <w:lang w:val="en-US" w:eastAsia="zh-CN" w:bidi="ar-SA"/>
        </w:rPr>
        <w:t> </w:t>
      </w:r>
      <w:r>
        <w:rPr>
          <w:rFonts w:hint="default" w:ascii="宋体" w:hAnsi="宋体" w:eastAsia="宋体" w:cs="宋体"/>
          <w:sz w:val="21"/>
          <w:lang w:val="en-US" w:eastAsia="zh-CN" w:bidi="ar-SA"/>
        </w:rPr>
        <w:t>mm。</w:t>
      </w:r>
    </w:p>
    <w:p w14:paraId="4990047E">
      <w:pPr>
        <w:pStyle w:val="105"/>
        <w:bidi w:val="0"/>
      </w:pPr>
      <w:bookmarkStart w:id="209" w:name="_Toc28200"/>
      <w:bookmarkStart w:id="210" w:name="_Toc28148"/>
      <w:bookmarkStart w:id="211" w:name="_Toc22295"/>
      <w:bookmarkStart w:id="212" w:name="_Toc24792"/>
      <w:bookmarkStart w:id="213" w:name="_Toc19154"/>
      <w:bookmarkStart w:id="214" w:name="_Toc27139"/>
      <w:bookmarkStart w:id="215" w:name="_Toc26207"/>
      <w:bookmarkStart w:id="216" w:name="_Toc10798"/>
      <w:bookmarkStart w:id="217" w:name="_Toc17751"/>
      <w:r>
        <w:rPr>
          <w:rFonts w:hint="default"/>
        </w:rPr>
        <w:t>焊后处理工艺</w:t>
      </w:r>
      <w:bookmarkEnd w:id="209"/>
      <w:bookmarkEnd w:id="210"/>
      <w:bookmarkEnd w:id="211"/>
      <w:bookmarkEnd w:id="212"/>
      <w:bookmarkEnd w:id="213"/>
      <w:bookmarkEnd w:id="214"/>
      <w:bookmarkEnd w:id="215"/>
      <w:bookmarkEnd w:id="216"/>
      <w:bookmarkEnd w:id="217"/>
    </w:p>
    <w:p w14:paraId="20BEF006">
      <w:pPr>
        <w:pStyle w:val="106"/>
        <w:bidi w:val="0"/>
        <w:ind w:left="0" w:leftChars="0" w:firstLine="0" w:firstLineChars="0"/>
        <w:rPr>
          <w:rFonts w:hint="default"/>
        </w:rPr>
      </w:pPr>
      <w:bookmarkStart w:id="218" w:name="_Toc25604"/>
      <w:bookmarkStart w:id="219" w:name="_Toc27034"/>
      <w:bookmarkStart w:id="220" w:name="_Toc3567"/>
      <w:r>
        <w:rPr>
          <w:rFonts w:hint="default"/>
        </w:rPr>
        <w:t>焊后缓冷要求</w:t>
      </w:r>
      <w:bookmarkEnd w:id="218"/>
      <w:bookmarkEnd w:id="219"/>
      <w:bookmarkEnd w:id="220"/>
    </w:p>
    <w:p w14:paraId="3BD49A8C">
      <w:pPr>
        <w:pStyle w:val="57"/>
        <w:bidi w:val="0"/>
        <w:rPr>
          <w:rFonts w:hint="eastAsia"/>
        </w:rPr>
      </w:pPr>
      <w:r>
        <w:rPr>
          <w:rFonts w:hint="eastAsia"/>
        </w:rPr>
        <w:t>堆焊完成后，工件应及时转入保温箱或缓冷坑中缓冷至室温，禁止在室外快速风冷或水冷。</w:t>
      </w:r>
    </w:p>
    <w:p w14:paraId="57D45651">
      <w:pPr>
        <w:pStyle w:val="106"/>
        <w:bidi w:val="0"/>
        <w:ind w:left="0" w:leftChars="0" w:firstLine="0" w:firstLineChars="0"/>
        <w:rPr>
          <w:rFonts w:hint="eastAsia"/>
        </w:rPr>
      </w:pPr>
      <w:bookmarkStart w:id="221" w:name="_Toc23678"/>
      <w:bookmarkStart w:id="222" w:name="_Toc7405"/>
      <w:bookmarkStart w:id="223" w:name="_Toc14779"/>
      <w:r>
        <w:rPr>
          <w:rFonts w:hint="default"/>
        </w:rPr>
        <w:t>去应力退火工艺</w:t>
      </w:r>
      <w:bookmarkEnd w:id="221"/>
      <w:bookmarkEnd w:id="222"/>
      <w:bookmarkEnd w:id="223"/>
    </w:p>
    <w:p w14:paraId="20FFE43F">
      <w:pPr>
        <w:pStyle w:val="57"/>
        <w:bidi w:val="0"/>
        <w:rPr>
          <w:rFonts w:hint="eastAsia"/>
        </w:rPr>
      </w:pPr>
      <w:r>
        <w:rPr>
          <w:rFonts w:hint="eastAsia"/>
        </w:rPr>
        <w:t>用于高冲击、高耐磨工况的刀齿，应进行去应力退火，退火温度应为450</w:t>
      </w:r>
      <w:r>
        <w:rPr>
          <w:rFonts w:hint="eastAsia"/>
          <w:lang w:eastAsia="zh-CN"/>
        </w:rPr>
        <w:t> </w:t>
      </w:r>
      <w:r>
        <w:rPr>
          <w:rFonts w:hint="eastAsia"/>
        </w:rPr>
        <w:t>℃～550</w:t>
      </w:r>
      <w:r>
        <w:rPr>
          <w:rFonts w:hint="eastAsia"/>
          <w:lang w:eastAsia="zh-CN"/>
        </w:rPr>
        <w:t> </w:t>
      </w:r>
      <w:r>
        <w:rPr>
          <w:rFonts w:hint="eastAsia"/>
        </w:rPr>
        <w:t>℃，且不得高于基体调质回火温度。</w:t>
      </w:r>
    </w:p>
    <w:p w14:paraId="10A40BF0">
      <w:pPr>
        <w:pStyle w:val="105"/>
        <w:bidi w:val="0"/>
        <w:rPr>
          <w:rFonts w:hint="default"/>
        </w:rPr>
      </w:pPr>
      <w:bookmarkStart w:id="224" w:name="_Toc20297"/>
      <w:bookmarkStart w:id="225" w:name="_Toc18748"/>
      <w:bookmarkStart w:id="226" w:name="_Toc16987"/>
      <w:bookmarkStart w:id="227" w:name="_Toc3465"/>
      <w:r>
        <w:rPr>
          <w:rFonts w:hint="eastAsia"/>
          <w:lang w:eastAsia="zh-CN"/>
        </w:rPr>
        <w:t>质量检验</w:t>
      </w:r>
      <w:bookmarkEnd w:id="224"/>
      <w:bookmarkEnd w:id="225"/>
      <w:bookmarkEnd w:id="226"/>
      <w:bookmarkEnd w:id="227"/>
    </w:p>
    <w:p w14:paraId="72D52491">
      <w:pPr>
        <w:pStyle w:val="106"/>
        <w:bidi w:val="0"/>
        <w:ind w:left="0" w:leftChars="0" w:firstLine="0" w:firstLineChars="0"/>
      </w:pPr>
      <w:bookmarkStart w:id="228" w:name="_Toc28097"/>
      <w:bookmarkStart w:id="229" w:name="_Toc30071"/>
      <w:bookmarkStart w:id="230" w:name="_Toc8875"/>
      <w:bookmarkStart w:id="231" w:name="_Toc16213"/>
      <w:bookmarkStart w:id="232" w:name="_Toc545"/>
      <w:bookmarkStart w:id="233" w:name="_Toc27753"/>
      <w:bookmarkStart w:id="234" w:name="_Toc28609"/>
      <w:bookmarkStart w:id="235" w:name="_Toc17774"/>
      <w:bookmarkStart w:id="236" w:name="_Toc25684"/>
      <w:r>
        <w:rPr>
          <w:rFonts w:hint="default"/>
        </w:rPr>
        <w:t>外观检测</w:t>
      </w:r>
      <w:bookmarkEnd w:id="228"/>
      <w:bookmarkEnd w:id="229"/>
      <w:bookmarkEnd w:id="230"/>
      <w:bookmarkEnd w:id="231"/>
      <w:bookmarkEnd w:id="232"/>
      <w:bookmarkEnd w:id="233"/>
      <w:bookmarkEnd w:id="234"/>
      <w:bookmarkEnd w:id="235"/>
      <w:bookmarkEnd w:id="236"/>
    </w:p>
    <w:p w14:paraId="30D584AF">
      <w:pPr>
        <w:pStyle w:val="166"/>
        <w:bidi w:val="0"/>
        <w:rPr>
          <w:rFonts w:hint="eastAsia"/>
        </w:rPr>
      </w:pPr>
      <w:bookmarkStart w:id="237" w:name="_Toc9085"/>
      <w:r>
        <w:rPr>
          <w:rFonts w:hint="eastAsia"/>
        </w:rPr>
        <w:t>所有</w:t>
      </w:r>
      <w:r>
        <w:rPr>
          <w:rFonts w:hint="eastAsia"/>
          <w:lang w:val="en-US" w:eastAsia="zh-CN"/>
        </w:rPr>
        <w:t>堆焊</w:t>
      </w:r>
      <w:r>
        <w:rPr>
          <w:rFonts w:hint="eastAsia"/>
        </w:rPr>
        <w:t>刀齿逐件进行外观检查。</w:t>
      </w:r>
      <w:bookmarkEnd w:id="237"/>
    </w:p>
    <w:p w14:paraId="786DC858">
      <w:pPr>
        <w:pStyle w:val="166"/>
        <w:bidi w:val="0"/>
      </w:pPr>
      <w:r>
        <w:rPr>
          <w:rFonts w:hint="default"/>
        </w:rPr>
        <w:t>焊道应平整圆滑，平缓过渡至基体，不得有密集飞溅、焊瘤、弧坑</w:t>
      </w:r>
      <w:r>
        <w:rPr>
          <w:rFonts w:hint="eastAsia"/>
          <w:lang w:eastAsia="zh-CN"/>
        </w:rPr>
        <w:t>。</w:t>
      </w:r>
    </w:p>
    <w:p w14:paraId="0BD55317">
      <w:pPr>
        <w:pStyle w:val="166"/>
        <w:bidi w:val="0"/>
        <w:rPr>
          <w:rFonts w:hint="default"/>
        </w:rPr>
      </w:pPr>
      <w:r>
        <w:rPr>
          <w:rFonts w:hint="default"/>
        </w:rPr>
        <w:t>允许存在均匀细小的横向微裂纹，横向微裂纹长度≤2</w:t>
      </w:r>
      <w:r>
        <w:rPr>
          <w:rFonts w:hint="eastAsia"/>
          <w:lang w:eastAsia="zh-CN"/>
        </w:rPr>
        <w:t> </w:t>
      </w:r>
      <w:r>
        <w:rPr>
          <w:rFonts w:hint="default"/>
        </w:rPr>
        <w:t>mm，间距≥5</w:t>
      </w:r>
      <w:r>
        <w:rPr>
          <w:rFonts w:hint="eastAsia"/>
          <w:lang w:eastAsia="zh-CN"/>
        </w:rPr>
        <w:t> </w:t>
      </w:r>
      <w:r>
        <w:rPr>
          <w:rFonts w:hint="default"/>
        </w:rPr>
        <w:t>mm，但裂纹不得延伸进入基体</w:t>
      </w:r>
      <w:r>
        <w:rPr>
          <w:rFonts w:hint="eastAsia"/>
          <w:lang w:eastAsia="zh-CN"/>
        </w:rPr>
        <w:t>。</w:t>
      </w:r>
    </w:p>
    <w:p w14:paraId="72E8FBF5">
      <w:pPr>
        <w:pStyle w:val="106"/>
        <w:bidi w:val="0"/>
        <w:ind w:left="0" w:leftChars="0" w:firstLine="0" w:firstLineChars="0"/>
        <w:rPr>
          <w:rFonts w:hint="default"/>
        </w:rPr>
      </w:pPr>
      <w:bookmarkStart w:id="238" w:name="_Toc26464"/>
      <w:bookmarkStart w:id="239" w:name="_Toc18774"/>
      <w:bookmarkStart w:id="240" w:name="_Toc18079"/>
      <w:bookmarkStart w:id="241" w:name="_Toc7284"/>
      <w:bookmarkStart w:id="242" w:name="_Toc16876"/>
      <w:bookmarkStart w:id="243" w:name="_Toc18925"/>
      <w:bookmarkStart w:id="244" w:name="_Toc28251"/>
      <w:bookmarkStart w:id="245" w:name="_Toc507"/>
      <w:bookmarkStart w:id="246" w:name="_Toc24830"/>
      <w:r>
        <w:rPr>
          <w:rFonts w:hint="default"/>
        </w:rPr>
        <w:t>硬度检测</w:t>
      </w:r>
      <w:bookmarkEnd w:id="238"/>
      <w:bookmarkEnd w:id="239"/>
      <w:bookmarkEnd w:id="240"/>
      <w:bookmarkEnd w:id="241"/>
      <w:bookmarkEnd w:id="242"/>
      <w:bookmarkEnd w:id="243"/>
      <w:bookmarkEnd w:id="244"/>
      <w:bookmarkEnd w:id="245"/>
      <w:bookmarkEnd w:id="246"/>
    </w:p>
    <w:p w14:paraId="6117CFEF">
      <w:pPr>
        <w:pStyle w:val="166"/>
        <w:bidi w:val="0"/>
        <w:rPr>
          <w:rFonts w:hint="default"/>
          <w:lang w:val="en-US" w:eastAsia="zh-CN"/>
        </w:rPr>
      </w:pPr>
      <w:r>
        <w:rPr>
          <w:rFonts w:hint="default"/>
          <w:lang w:val="en-US" w:eastAsia="zh-CN"/>
        </w:rPr>
        <w:t>硬度检测应使用洛氏硬度计，按</w:t>
      </w:r>
      <w:r>
        <w:rPr>
          <w:rFonts w:hint="default"/>
          <w:color w:val="auto"/>
          <w:lang w:val="en-US" w:eastAsia="zh-CN"/>
        </w:rPr>
        <w:t>GB/T 230.1</w:t>
      </w:r>
      <w:r>
        <w:rPr>
          <w:rFonts w:hint="default"/>
          <w:lang w:val="en-US" w:eastAsia="zh-CN"/>
        </w:rPr>
        <w:t>的规定执行。</w:t>
      </w:r>
    </w:p>
    <w:p w14:paraId="2DF13482">
      <w:pPr>
        <w:pStyle w:val="166"/>
        <w:bidi w:val="0"/>
        <w:rPr>
          <w:rFonts w:hint="default"/>
          <w:lang w:val="en-US" w:eastAsia="zh-CN"/>
        </w:rPr>
      </w:pPr>
      <w:r>
        <w:rPr>
          <w:rFonts w:hint="default"/>
          <w:lang w:val="en-US" w:eastAsia="zh-CN"/>
        </w:rPr>
        <w:t>堆焊层表面硬度合格值由设计文件或用户技术要求规定。当设计文件未明确规定时，耐磨</w:t>
      </w:r>
      <w:r>
        <w:rPr>
          <w:rFonts w:hint="eastAsia"/>
          <w:lang w:val="en-US" w:eastAsia="zh-CN"/>
        </w:rPr>
        <w:t>堆焊层</w:t>
      </w:r>
      <w:r>
        <w:rPr>
          <w:rFonts w:hint="default"/>
          <w:lang w:val="en-US" w:eastAsia="zh-CN"/>
        </w:rPr>
        <w:t>硬度不应低于</w:t>
      </w:r>
      <w:r>
        <w:rPr>
          <w:rFonts w:hint="eastAsia"/>
          <w:lang w:val="en-US" w:eastAsia="zh-CN"/>
        </w:rPr>
        <w:t> </w:t>
      </w:r>
      <w:r>
        <w:rPr>
          <w:rFonts w:hint="default"/>
          <w:lang w:val="en-US" w:eastAsia="zh-CN"/>
        </w:rPr>
        <w:t>HRC55。</w:t>
      </w:r>
    </w:p>
    <w:p w14:paraId="1796F6D2">
      <w:pPr>
        <w:pStyle w:val="166"/>
        <w:bidi w:val="0"/>
        <w:rPr>
          <w:rFonts w:hint="default"/>
          <w:lang w:val="en-US" w:eastAsia="zh-CN"/>
        </w:rPr>
      </w:pPr>
      <w:r>
        <w:rPr>
          <w:rFonts w:hint="default"/>
          <w:lang w:val="en-US" w:eastAsia="zh-CN"/>
        </w:rPr>
        <w:t>硬度检测应在堆焊层表面进行，检测点应均布，每件刀齿检测点不应少于3处，检测点距边缘不应小于5</w:t>
      </w:r>
      <w:r>
        <w:rPr>
          <w:rFonts w:hint="eastAsia"/>
          <w:lang w:val="en-US" w:eastAsia="zh-CN"/>
        </w:rPr>
        <w:t> </w:t>
      </w:r>
      <w:r>
        <w:rPr>
          <w:rFonts w:hint="default"/>
          <w:lang w:val="en-US" w:eastAsia="zh-CN"/>
        </w:rPr>
        <w:t>mm。</w:t>
      </w:r>
    </w:p>
    <w:p w14:paraId="31AA6D89">
      <w:pPr>
        <w:pStyle w:val="57"/>
        <w:rPr>
          <w:rFonts w:hint="default"/>
          <w:lang w:val="en-US" w:eastAsia="zh-CN"/>
        </w:rPr>
      </w:pPr>
    </w:p>
    <w:p w14:paraId="5A27D730">
      <w:pPr>
        <w:pStyle w:val="57"/>
        <w:rPr>
          <w:rFonts w:hint="default"/>
          <w:lang w:val="en-US" w:eastAsia="zh-CN"/>
        </w:rPr>
      </w:pPr>
    </w:p>
    <w:p w14:paraId="7D3DDF85">
      <w:pPr>
        <w:pStyle w:val="57"/>
        <w:rPr>
          <w:rFonts w:hint="default"/>
          <w:lang w:val="en-US" w:eastAsia="zh-CN"/>
        </w:rPr>
      </w:pPr>
    </w:p>
    <w:p w14:paraId="6234A72B">
      <w:pPr>
        <w:pStyle w:val="57"/>
        <w:rPr>
          <w:rFonts w:hint="default"/>
          <w:lang w:val="en-US" w:eastAsia="zh-CN"/>
        </w:rPr>
      </w:pPr>
    </w:p>
    <w:p w14:paraId="4679C2D3">
      <w:pPr>
        <w:pStyle w:val="57"/>
        <w:rPr>
          <w:rFonts w:hint="default"/>
          <w:lang w:val="en-US" w:eastAsia="zh-CN"/>
        </w:rPr>
      </w:pPr>
    </w:p>
    <w:p w14:paraId="541EA69E">
      <w:pPr>
        <w:pStyle w:val="57"/>
        <w:rPr>
          <w:rFonts w:hint="default"/>
          <w:lang w:val="en-US" w:eastAsia="zh-CN"/>
        </w:rPr>
      </w:pPr>
    </w:p>
    <w:p w14:paraId="6F2D8BDF">
      <w:pPr>
        <w:pStyle w:val="57"/>
        <w:rPr>
          <w:rFonts w:hint="default"/>
          <w:lang w:val="en-US" w:eastAsia="zh-CN"/>
        </w:rPr>
      </w:pPr>
    </w:p>
    <w:p w14:paraId="562AEC86">
      <w:pPr>
        <w:pStyle w:val="57"/>
        <w:rPr>
          <w:rFonts w:hint="default"/>
          <w:lang w:val="en-US" w:eastAsia="zh-CN"/>
        </w:rPr>
      </w:pPr>
    </w:p>
    <w:p w14:paraId="660B87FF">
      <w:pPr>
        <w:pStyle w:val="57"/>
        <w:rPr>
          <w:rFonts w:hint="default"/>
          <w:lang w:val="en-US" w:eastAsia="zh-CN"/>
        </w:rPr>
      </w:pPr>
    </w:p>
    <w:p w14:paraId="118DD5ED">
      <w:pPr>
        <w:pStyle w:val="57"/>
        <w:rPr>
          <w:rFonts w:hint="default"/>
          <w:lang w:val="en-US" w:eastAsia="zh-CN"/>
        </w:rPr>
      </w:pPr>
    </w:p>
    <w:p w14:paraId="3234308C">
      <w:pPr>
        <w:pStyle w:val="57"/>
        <w:rPr>
          <w:rFonts w:hint="default"/>
          <w:lang w:val="en-US" w:eastAsia="zh-CN"/>
        </w:rPr>
      </w:pPr>
    </w:p>
    <w:p w14:paraId="2AFAD71E">
      <w:pPr>
        <w:pStyle w:val="57"/>
        <w:rPr>
          <w:rFonts w:hint="default"/>
          <w:lang w:val="en-US" w:eastAsia="zh-CN"/>
        </w:rPr>
      </w:pPr>
    </w:p>
    <w:p w14:paraId="3DCE5BCF">
      <w:pPr>
        <w:pStyle w:val="57"/>
        <w:rPr>
          <w:rFonts w:hint="default"/>
          <w:lang w:val="en-US" w:eastAsia="zh-CN"/>
        </w:rPr>
      </w:pPr>
    </w:p>
    <w:p w14:paraId="74567911">
      <w:pPr>
        <w:pStyle w:val="57"/>
        <w:rPr>
          <w:rFonts w:hint="default"/>
          <w:lang w:val="en-US" w:eastAsia="zh-CN"/>
        </w:rPr>
      </w:pPr>
    </w:p>
    <w:p w14:paraId="66F0F615">
      <w:pPr>
        <w:pStyle w:val="57"/>
        <w:rPr>
          <w:rFonts w:hint="default"/>
          <w:lang w:val="en-US" w:eastAsia="zh-CN"/>
        </w:rPr>
      </w:pPr>
    </w:p>
    <w:p w14:paraId="348E91D6">
      <w:pPr>
        <w:pStyle w:val="57"/>
        <w:rPr>
          <w:rFonts w:hint="default"/>
          <w:lang w:val="en-US" w:eastAsia="zh-CN"/>
        </w:rPr>
      </w:pPr>
    </w:p>
    <w:p w14:paraId="6365BB4A">
      <w:pPr>
        <w:pStyle w:val="57"/>
        <w:rPr>
          <w:rFonts w:hint="default"/>
          <w:lang w:val="en-US" w:eastAsia="zh-CN"/>
        </w:rPr>
      </w:pPr>
    </w:p>
    <w:p w14:paraId="77C277FC">
      <w:pPr>
        <w:pStyle w:val="57"/>
        <w:rPr>
          <w:rFonts w:hint="default"/>
          <w:lang w:val="en-US" w:eastAsia="zh-CN"/>
        </w:rPr>
      </w:pPr>
    </w:p>
    <w:p w14:paraId="6B229907">
      <w:pPr>
        <w:pStyle w:val="57"/>
        <w:rPr>
          <w:rFonts w:hint="default"/>
          <w:lang w:val="en-US" w:eastAsia="zh-CN"/>
        </w:rPr>
      </w:pPr>
    </w:p>
    <w:p w14:paraId="2D831BF4">
      <w:pPr>
        <w:pStyle w:val="57"/>
        <w:rPr>
          <w:rFonts w:hint="default"/>
          <w:lang w:val="en-US" w:eastAsia="zh-CN"/>
        </w:rPr>
      </w:pPr>
    </w:p>
    <w:p w14:paraId="0DEE9D7D">
      <w:pPr>
        <w:pStyle w:val="57"/>
        <w:rPr>
          <w:rFonts w:hint="default"/>
          <w:lang w:val="en-US" w:eastAsia="zh-CN"/>
        </w:rPr>
      </w:pPr>
    </w:p>
    <w:p w14:paraId="7A4DDEFF">
      <w:pPr>
        <w:pStyle w:val="57"/>
        <w:rPr>
          <w:rFonts w:hint="default"/>
          <w:lang w:val="en-US" w:eastAsia="zh-CN"/>
        </w:rPr>
      </w:pPr>
    </w:p>
    <w:p w14:paraId="7D70A4B5">
      <w:pPr>
        <w:pStyle w:val="57"/>
        <w:rPr>
          <w:rFonts w:hint="default"/>
          <w:lang w:val="en-US" w:eastAsia="zh-CN"/>
        </w:rPr>
      </w:pPr>
    </w:p>
    <w:p w14:paraId="78C54B26">
      <w:pPr>
        <w:pStyle w:val="57"/>
        <w:rPr>
          <w:rFonts w:hint="default"/>
          <w:lang w:val="en-US" w:eastAsia="zh-CN"/>
        </w:rPr>
      </w:pPr>
    </w:p>
    <w:p w14:paraId="03160EBF">
      <w:pPr>
        <w:pStyle w:val="57"/>
        <w:rPr>
          <w:rFonts w:hint="default"/>
          <w:lang w:val="en-US" w:eastAsia="zh-CN"/>
        </w:rPr>
      </w:pPr>
    </w:p>
    <w:p w14:paraId="39F3926C">
      <w:pPr>
        <w:pStyle w:val="57"/>
        <w:rPr>
          <w:rFonts w:hint="default"/>
          <w:lang w:val="en-US" w:eastAsia="zh-CN"/>
        </w:rPr>
      </w:pPr>
    </w:p>
    <w:p w14:paraId="2841672E">
      <w:pPr>
        <w:pStyle w:val="57"/>
        <w:rPr>
          <w:rFonts w:hint="default"/>
          <w:lang w:val="en-US" w:eastAsia="zh-CN"/>
        </w:rPr>
      </w:pPr>
    </w:p>
    <w:p w14:paraId="5EF3ABE8">
      <w:pPr>
        <w:pStyle w:val="57"/>
        <w:rPr>
          <w:rFonts w:hint="default"/>
          <w:lang w:val="en-US" w:eastAsia="zh-CN"/>
        </w:rPr>
      </w:pPr>
    </w:p>
    <w:p w14:paraId="2CD7DC84">
      <w:pPr>
        <w:pStyle w:val="57"/>
        <w:rPr>
          <w:rFonts w:hint="default"/>
          <w:lang w:val="en-US" w:eastAsia="zh-CN"/>
        </w:rPr>
      </w:pPr>
    </w:p>
    <w:p w14:paraId="2E15B9E7">
      <w:pPr>
        <w:pStyle w:val="57"/>
        <w:rPr>
          <w:rFonts w:hint="default"/>
          <w:lang w:val="en-US" w:eastAsia="zh-CN"/>
        </w:rPr>
      </w:pPr>
    </w:p>
    <w:p w14:paraId="2E527792">
      <w:pPr>
        <w:pStyle w:val="57"/>
        <w:rPr>
          <w:rFonts w:hint="default"/>
          <w:lang w:val="en-US" w:eastAsia="zh-CN"/>
        </w:rPr>
      </w:pPr>
    </w:p>
    <w:p w14:paraId="4846BC1B">
      <w:pPr>
        <w:pStyle w:val="57"/>
        <w:rPr>
          <w:rFonts w:hint="default"/>
          <w:lang w:val="en-US" w:eastAsia="zh-CN"/>
        </w:rPr>
      </w:pPr>
    </w:p>
    <w:p w14:paraId="0662B06C">
      <w:pPr>
        <w:pStyle w:val="57"/>
        <w:rPr>
          <w:rFonts w:hint="default"/>
          <w:lang w:val="en-US" w:eastAsia="zh-CN"/>
        </w:rPr>
      </w:pPr>
    </w:p>
    <w:p w14:paraId="1A151BE0">
      <w:pPr>
        <w:pStyle w:val="57"/>
        <w:rPr>
          <w:rFonts w:hint="default"/>
          <w:lang w:val="en-US" w:eastAsia="zh-CN"/>
        </w:rPr>
      </w:pPr>
    </w:p>
    <w:p w14:paraId="5113811C">
      <w:pPr>
        <w:pStyle w:val="57"/>
        <w:rPr>
          <w:rFonts w:hint="default"/>
          <w:lang w:val="en-US" w:eastAsia="zh-CN"/>
        </w:rPr>
      </w:pPr>
    </w:p>
    <w:p w14:paraId="297F6327">
      <w:pPr>
        <w:pStyle w:val="57"/>
        <w:rPr>
          <w:rFonts w:hint="default"/>
          <w:lang w:val="en-US" w:eastAsia="zh-CN"/>
        </w:rPr>
      </w:pPr>
    </w:p>
    <w:p w14:paraId="5008179B">
      <w:pPr>
        <w:pStyle w:val="57"/>
        <w:rPr>
          <w:rFonts w:hint="default"/>
          <w:lang w:val="en-US" w:eastAsia="zh-CN"/>
        </w:rPr>
      </w:pPr>
    </w:p>
    <w:p w14:paraId="6E3DFB72">
      <w:pPr>
        <w:pStyle w:val="57"/>
        <w:rPr>
          <w:rFonts w:hint="default"/>
          <w:lang w:val="en-US" w:eastAsia="zh-CN"/>
        </w:rPr>
      </w:pPr>
    </w:p>
    <w:p w14:paraId="0C4DB98C">
      <w:pPr>
        <w:pStyle w:val="57"/>
        <w:rPr>
          <w:rFonts w:hint="default"/>
          <w:lang w:val="en-US" w:eastAsia="zh-CN"/>
        </w:rPr>
      </w:pPr>
    </w:p>
    <w:p w14:paraId="0A51A962">
      <w:pPr>
        <w:pStyle w:val="57"/>
        <w:rPr>
          <w:rFonts w:hint="default"/>
          <w:lang w:val="en-US" w:eastAsia="zh-CN"/>
        </w:rPr>
      </w:pPr>
    </w:p>
    <w:p w14:paraId="6F2A1F22">
      <w:pPr>
        <w:pStyle w:val="57"/>
        <w:rPr>
          <w:rFonts w:hint="default"/>
          <w:lang w:val="en-US" w:eastAsia="zh-CN"/>
        </w:rPr>
      </w:pPr>
    </w:p>
    <w:p w14:paraId="11E17604">
      <w:pPr>
        <w:pStyle w:val="57"/>
        <w:rPr>
          <w:rFonts w:hint="default"/>
          <w:lang w:val="en-US" w:eastAsia="zh-CN"/>
        </w:rPr>
      </w:pPr>
    </w:p>
    <w:p w14:paraId="76506F3A">
      <w:pPr>
        <w:pStyle w:val="57"/>
        <w:rPr>
          <w:rFonts w:hint="default"/>
          <w:lang w:val="en-US" w:eastAsia="zh-CN"/>
        </w:rPr>
      </w:pPr>
    </w:p>
    <w:p w14:paraId="2307CD13">
      <w:pPr>
        <w:pStyle w:val="57"/>
        <w:rPr>
          <w:rFonts w:hint="default"/>
          <w:lang w:val="en-US" w:eastAsia="zh-CN"/>
        </w:rPr>
      </w:pPr>
    </w:p>
    <w:p w14:paraId="3DE9E609">
      <w:pPr>
        <w:pStyle w:val="57"/>
        <w:rPr>
          <w:rFonts w:hint="default"/>
          <w:lang w:val="en-US" w:eastAsia="zh-CN"/>
        </w:rPr>
      </w:pPr>
    </w:p>
    <w:p w14:paraId="04BF6A16">
      <w:pPr>
        <w:pStyle w:val="57"/>
        <w:rPr>
          <w:rFonts w:hint="default"/>
          <w:lang w:val="en-US" w:eastAsia="zh-CN"/>
        </w:rPr>
      </w:pPr>
      <w:r>
        <w:rPr>
          <w:rFonts w:hint="default"/>
          <w:lang w:val="en-US" w:eastAsia="zh-CN"/>
        </w:rPr>
        <w:br w:type="textWrapping"/>
      </w:r>
    </w:p>
    <w:p w14:paraId="37521E2A">
      <w:pPr>
        <w:pStyle w:val="57"/>
        <w:rPr>
          <w:rFonts w:hint="default"/>
          <w:lang w:val="en-US" w:eastAsia="zh-CN"/>
        </w:rPr>
      </w:pPr>
    </w:p>
    <w:p w14:paraId="3540A361">
      <w:pPr>
        <w:pStyle w:val="57"/>
        <w:rPr>
          <w:rFonts w:hint="default"/>
          <w:lang w:val="en-US" w:eastAsia="zh-CN"/>
        </w:rPr>
      </w:pPr>
    </w:p>
    <w:bookmarkEnd w:id="32"/>
    <w:p w14:paraId="7DFB6FB4">
      <w:pPr>
        <w:pStyle w:val="199"/>
        <w:bidi w:val="0"/>
      </w:pPr>
      <w:bookmarkStart w:id="247" w:name="BookMark5"/>
    </w:p>
    <w:p w14:paraId="60C78C75">
      <w:pPr>
        <w:pStyle w:val="200"/>
        <w:bidi w:val="0"/>
      </w:pPr>
    </w:p>
    <w:p w14:paraId="283629F6">
      <w:pPr>
        <w:pStyle w:val="64"/>
        <w:spacing w:after="120"/>
        <w:rPr>
          <w:rFonts w:hint="eastAsia"/>
          <w:color w:val="auto"/>
        </w:rPr>
      </w:pPr>
      <w:bookmarkStart w:id="248" w:name="_Toc3203"/>
      <w:bookmarkStart w:id="249" w:name="_Toc16357"/>
      <w:bookmarkStart w:id="250" w:name="_Toc3961"/>
      <w:bookmarkStart w:id="251" w:name="_Toc10626"/>
      <w:bookmarkStart w:id="252" w:name="_Toc15408"/>
      <w:bookmarkStart w:id="253" w:name="_Toc5625"/>
      <w:bookmarkStart w:id="254" w:name="_Toc212714365"/>
      <w:bookmarkStart w:id="255" w:name="_Toc31244"/>
      <w:bookmarkStart w:id="256" w:name="_Toc22736"/>
      <w:bookmarkStart w:id="257" w:name="_Toc212714352"/>
      <w:bookmarkStart w:id="258" w:name="_Toc201732812"/>
      <w:bookmarkStart w:id="259" w:name="_Toc15363"/>
      <w:bookmarkStart w:id="260" w:name="_Toc8496"/>
      <w:bookmarkStart w:id="261" w:name="_Toc15563"/>
      <w:r>
        <w:rPr>
          <w:rFonts w:hint="eastAsia"/>
          <w:color w:val="auto"/>
          <w:spacing w:val="105"/>
        </w:rPr>
        <w:t>参考文</w:t>
      </w:r>
      <w:r>
        <w:rPr>
          <w:rFonts w:hint="eastAsia"/>
          <w:color w:val="auto"/>
        </w:rPr>
        <w:t>献</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D416A80">
      <w:pPr>
        <w:pStyle w:val="57"/>
        <w:numPr>
          <w:ilvl w:val="0"/>
          <w:numId w:val="39"/>
        </w:numPr>
        <w:ind w:firstLine="420"/>
        <w:jc w:val="left"/>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GB/T 12604.1 </w:t>
      </w:r>
      <w:r>
        <w:rPr>
          <w:rFonts w:hint="eastAsia" w:ascii="宋体" w:hAnsi="宋体" w:cs="宋体"/>
          <w:color w:val="auto"/>
          <w:lang w:val="en-US" w:eastAsia="zh-CN"/>
        </w:rPr>
        <w:t xml:space="preserve"> </w:t>
      </w:r>
      <w:r>
        <w:rPr>
          <w:rFonts w:hint="eastAsia" w:ascii="宋体" w:hAnsi="宋体" w:eastAsia="宋体" w:cs="宋体"/>
          <w:color w:val="auto"/>
          <w:lang w:val="en-US" w:eastAsia="zh-CN"/>
        </w:rPr>
        <w:t xml:space="preserve">无损检测 </w:t>
      </w:r>
      <w:r>
        <w:rPr>
          <w:rFonts w:hint="eastAsia" w:ascii="宋体" w:hAnsi="宋体" w:cs="宋体"/>
          <w:color w:val="auto"/>
          <w:lang w:val="en-US" w:eastAsia="zh-CN"/>
        </w:rPr>
        <w:t xml:space="preserve"> </w:t>
      </w:r>
      <w:r>
        <w:rPr>
          <w:rFonts w:hint="eastAsia" w:ascii="宋体" w:hAnsi="宋体" w:eastAsia="宋体" w:cs="宋体"/>
          <w:color w:val="auto"/>
          <w:lang w:val="en-US" w:eastAsia="zh-CN"/>
        </w:rPr>
        <w:t>术语</w:t>
      </w:r>
      <w:r>
        <w:rPr>
          <w:rFonts w:hint="eastAsia" w:ascii="宋体" w:hAnsi="宋体" w:cs="宋体"/>
          <w:color w:val="auto"/>
          <w:lang w:val="en-US" w:eastAsia="zh-CN"/>
        </w:rPr>
        <w:t xml:space="preserve"> </w:t>
      </w:r>
      <w:r>
        <w:rPr>
          <w:rFonts w:hint="eastAsia" w:ascii="宋体" w:hAnsi="宋体" w:eastAsia="宋体" w:cs="宋体"/>
          <w:color w:val="auto"/>
          <w:lang w:val="en-US" w:eastAsia="zh-CN"/>
        </w:rPr>
        <w:t xml:space="preserve"> </w:t>
      </w:r>
      <w:r>
        <w:rPr>
          <w:rFonts w:hint="eastAsia" w:ascii="宋体" w:hAnsi="宋体" w:cs="宋体"/>
          <w:color w:val="auto"/>
          <w:lang w:val="en-US" w:eastAsia="zh-CN"/>
        </w:rPr>
        <w:t>超声</w:t>
      </w:r>
      <w:r>
        <w:rPr>
          <w:rFonts w:hint="eastAsia" w:ascii="宋体" w:hAnsi="宋体" w:eastAsia="宋体" w:cs="宋体"/>
          <w:color w:val="auto"/>
          <w:lang w:val="en-US" w:eastAsia="zh-CN"/>
        </w:rPr>
        <w:t>检测</w:t>
      </w:r>
    </w:p>
    <w:p w14:paraId="77189833">
      <w:pPr>
        <w:pStyle w:val="57"/>
        <w:numPr>
          <w:ilvl w:val="0"/>
          <w:numId w:val="39"/>
        </w:numPr>
        <w:ind w:firstLine="420"/>
        <w:jc w:val="left"/>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GB/T 26955 </w:t>
      </w:r>
      <w:r>
        <w:rPr>
          <w:rFonts w:hint="eastAsia" w:ascii="宋体" w:hAnsi="宋体" w:cs="宋体"/>
          <w:color w:val="auto"/>
          <w:lang w:val="en-US" w:eastAsia="zh-CN"/>
        </w:rPr>
        <w:t xml:space="preserve"> </w:t>
      </w:r>
      <w:r>
        <w:rPr>
          <w:rFonts w:hint="eastAsia" w:ascii="宋体" w:hAnsi="宋体" w:eastAsia="宋体" w:cs="宋体"/>
          <w:color w:val="auto"/>
          <w:lang w:val="en-US" w:eastAsia="zh-CN"/>
        </w:rPr>
        <w:t xml:space="preserve">金属材料焊缝破坏性试验 </w:t>
      </w:r>
      <w:r>
        <w:rPr>
          <w:rFonts w:hint="eastAsia" w:ascii="宋体" w:hAnsi="宋体" w:cs="宋体"/>
          <w:color w:val="auto"/>
          <w:lang w:val="en-US" w:eastAsia="zh-CN"/>
        </w:rPr>
        <w:t xml:space="preserve"> </w:t>
      </w:r>
      <w:r>
        <w:rPr>
          <w:rFonts w:hint="eastAsia" w:ascii="宋体" w:hAnsi="宋体" w:eastAsia="宋体" w:cs="宋体"/>
          <w:color w:val="auto"/>
          <w:lang w:val="en-US" w:eastAsia="zh-CN"/>
        </w:rPr>
        <w:t>焊缝宏观和微观检验</w:t>
      </w:r>
    </w:p>
    <w:p w14:paraId="3CF9F090">
      <w:pPr>
        <w:pStyle w:val="57"/>
        <w:numPr>
          <w:ilvl w:val="0"/>
          <w:numId w:val="39"/>
        </w:numPr>
        <w:ind w:firstLine="420"/>
        <w:jc w:val="left"/>
        <w:rPr>
          <w:rFonts w:hint="eastAsia" w:ascii="宋体" w:hAnsi="宋体" w:eastAsia="宋体" w:cs="宋体"/>
          <w:color w:val="auto"/>
          <w:lang w:val="en-US" w:eastAsia="zh-CN"/>
        </w:rPr>
      </w:pPr>
      <w:r>
        <w:rPr>
          <w:rFonts w:hint="eastAsia" w:ascii="宋体" w:hAnsi="宋体" w:eastAsia="宋体" w:cs="宋体"/>
          <w:color w:val="auto"/>
          <w:lang w:val="en-US" w:eastAsia="zh-CN"/>
        </w:rPr>
        <w:t>DL/T 903-2004</w:t>
      </w:r>
      <w:r>
        <w:rPr>
          <w:rFonts w:hint="eastAsia" w:ascii="宋体" w:hAnsi="宋体" w:cs="宋体"/>
          <w:color w:val="auto"/>
          <w:lang w:val="en-US" w:eastAsia="zh-CN"/>
        </w:rPr>
        <w:t xml:space="preserve">  </w:t>
      </w:r>
      <w:r>
        <w:rPr>
          <w:rFonts w:hint="eastAsia" w:ascii="宋体" w:hAnsi="宋体" w:eastAsia="宋体" w:cs="宋体"/>
          <w:color w:val="auto"/>
          <w:lang w:val="en-US" w:eastAsia="zh-CN"/>
        </w:rPr>
        <w:t>磨煤机耐磨件堆焊技术导则</w:t>
      </w:r>
    </w:p>
    <w:p w14:paraId="0A2D78F2">
      <w:pPr>
        <w:pStyle w:val="57"/>
        <w:numPr>
          <w:ilvl w:val="0"/>
          <w:numId w:val="39"/>
        </w:numPr>
        <w:ind w:firstLine="420"/>
        <w:jc w:val="left"/>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MT/T 493 </w:t>
      </w:r>
      <w:r>
        <w:rPr>
          <w:rFonts w:hint="eastAsia" w:ascii="宋体" w:hAnsi="宋体" w:cs="宋体"/>
          <w:color w:val="auto"/>
          <w:lang w:val="en-US" w:eastAsia="zh-CN"/>
        </w:rPr>
        <w:t xml:space="preserve"> </w:t>
      </w:r>
      <w:r>
        <w:rPr>
          <w:rFonts w:hint="eastAsia" w:ascii="宋体" w:hAnsi="宋体" w:eastAsia="宋体" w:cs="宋体"/>
          <w:color w:val="auto"/>
          <w:lang w:val="en-US" w:eastAsia="zh-CN"/>
        </w:rPr>
        <w:t>顺槽用破碎机</w:t>
      </w:r>
    </w:p>
    <w:p w14:paraId="780DA389">
      <w:pPr>
        <w:pStyle w:val="57"/>
        <w:bidi w:val="0"/>
        <w:rPr>
          <w:color w:val="auto"/>
        </w:rPr>
      </w:pPr>
    </w:p>
    <w:p w14:paraId="25EBD898">
      <w:pPr>
        <w:pStyle w:val="57"/>
        <w:bidi w:val="0"/>
        <w:rPr>
          <w:color w:val="auto"/>
        </w:rPr>
      </w:pPr>
    </w:p>
    <w:p w14:paraId="5986EAEC">
      <w:pPr>
        <w:pStyle w:val="57"/>
        <w:bidi w:val="0"/>
        <w:rPr>
          <w:color w:val="auto"/>
        </w:rPr>
      </w:pPr>
    </w:p>
    <w:p w14:paraId="7377FC72">
      <w:pPr>
        <w:pStyle w:val="57"/>
        <w:bidi w:val="0"/>
        <w:rPr>
          <w:color w:val="auto"/>
        </w:rPr>
      </w:pPr>
    </w:p>
    <w:p w14:paraId="2679DFC6">
      <w:pPr>
        <w:pStyle w:val="57"/>
        <w:bidi w:val="0"/>
      </w:pPr>
    </w:p>
    <w:p w14:paraId="012C4A38">
      <w:pPr>
        <w:pStyle w:val="57"/>
        <w:bidi w:val="0"/>
      </w:pPr>
    </w:p>
    <w:p w14:paraId="334C888D">
      <w:pPr>
        <w:pStyle w:val="57"/>
        <w:bidi w:val="0"/>
      </w:pPr>
    </w:p>
    <w:p w14:paraId="7EF7529A">
      <w:pPr>
        <w:pStyle w:val="57"/>
        <w:bidi w:val="0"/>
      </w:pPr>
    </w:p>
    <w:p w14:paraId="134F8263">
      <w:pPr>
        <w:pStyle w:val="57"/>
        <w:bidi w:val="0"/>
      </w:pPr>
    </w:p>
    <w:p w14:paraId="41A8C459">
      <w:pPr>
        <w:pStyle w:val="57"/>
        <w:bidi w:val="0"/>
      </w:pPr>
    </w:p>
    <w:p w14:paraId="2AD1C2F6">
      <w:pPr>
        <w:pStyle w:val="57"/>
        <w:bidi w:val="0"/>
      </w:pPr>
    </w:p>
    <w:p w14:paraId="74EE76A3">
      <w:pPr>
        <w:pStyle w:val="57"/>
        <w:bidi w:val="0"/>
      </w:pPr>
    </w:p>
    <w:p w14:paraId="7D4A7DAB">
      <w:pPr>
        <w:pStyle w:val="57"/>
        <w:bidi w:val="0"/>
      </w:pPr>
    </w:p>
    <w:p w14:paraId="51284910">
      <w:pPr>
        <w:pStyle w:val="57"/>
        <w:bidi w:val="0"/>
      </w:pPr>
    </w:p>
    <w:p w14:paraId="544AA9C9">
      <w:pPr>
        <w:pStyle w:val="57"/>
        <w:bidi w:val="0"/>
      </w:pPr>
    </w:p>
    <w:p w14:paraId="08C8E979">
      <w:pPr>
        <w:pStyle w:val="57"/>
        <w:bidi w:val="0"/>
      </w:pPr>
    </w:p>
    <w:p w14:paraId="2D6DFBE1">
      <w:pPr>
        <w:pStyle w:val="57"/>
        <w:bidi w:val="0"/>
      </w:pPr>
    </w:p>
    <w:p w14:paraId="2630C0B2">
      <w:pPr>
        <w:pStyle w:val="57"/>
        <w:bidi w:val="0"/>
      </w:pPr>
    </w:p>
    <w:bookmarkEnd w:id="247"/>
    <w:p w14:paraId="64AFA7A3">
      <w:pPr>
        <w:pStyle w:val="57"/>
        <w:bidi w:val="0"/>
      </w:pPr>
    </w:p>
    <w:p w14:paraId="0DB55ACA">
      <w:pPr>
        <w:pStyle w:val="57"/>
        <w:bidi w:val="0"/>
        <w:ind w:firstLine="0" w:firstLineChars="0"/>
        <w:jc w:val="center"/>
        <w:rPr>
          <w:rFonts w:hint="eastAsia"/>
          <w:lang w:eastAsia="zh-CN"/>
        </w:rPr>
      </w:pPr>
      <w:bookmarkStart w:id="262" w:name="BookMark8"/>
      <w:r>
        <w:rPr>
          <w:rFonts w:hint="eastAsia"/>
          <w:lang w:eastAsia="zh-CN"/>
        </w:rPr>
        <w:drawing>
          <wp:inline distT="0" distB="0" distL="114300" distR="114300">
            <wp:extent cx="1485900" cy="317500"/>
            <wp:effectExtent l="0" t="0" r="0" b="6350"/>
            <wp:docPr id="3" name="图片 3" descr="1"/>
            <wp:cNvGraphicFramePr/>
            <a:graphic xmlns:a="http://schemas.openxmlformats.org/drawingml/2006/main">
              <a:graphicData uri="http://schemas.openxmlformats.org/drawingml/2006/picture">
                <pic:pic xmlns:pic="http://schemas.openxmlformats.org/drawingml/2006/picture">
                  <pic:nvPicPr>
                    <pic:cNvPr id="3" name="图片 3" descr="1"/>
                    <pic:cNvPicPr/>
                  </pic:nvPicPr>
                  <pic:blipFill>
                    <a:blip r:embed="rId14"/>
                    <a:stretch>
                      <a:fillRect/>
                    </a:stretch>
                  </pic:blipFill>
                  <pic:spPr>
                    <a:xfrm>
                      <a:off x="0" y="0"/>
                      <a:ext cx="1485900" cy="317500"/>
                    </a:xfrm>
                    <a:prstGeom prst="rect">
                      <a:avLst/>
                    </a:prstGeom>
                  </pic:spPr>
                </pic:pic>
              </a:graphicData>
            </a:graphic>
          </wp:inline>
        </w:drawing>
      </w:r>
      <w:bookmarkEnd w:id="262"/>
    </w:p>
    <w:sectPr>
      <w:headerReference r:id="rId9" w:type="default"/>
      <w:footerReference r:id="rId10" w:type="default"/>
      <w:pgSz w:w="11906" w:h="16838"/>
      <w:pgMar w:top="1928" w:right="1134" w:bottom="1134" w:left="1134" w:header="1418" w:footer="1134" w:gutter="284"/>
      <w:pgNumType w:fmt="decimal"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26B6D">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8E29D">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2EF22">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61CD1">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3CA2E">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13336">
    <w:pPr>
      <w:pStyle w:val="62"/>
      <w:rPr>
        <w:rFonts w:hint="eastAsia"/>
      </w:rPr>
    </w:pPr>
    <w:r>
      <w:fldChar w:fldCharType="begin"/>
    </w:r>
    <w:r>
      <w:instrText xml:space="preserve"> STYLEREF  标准文件_文件编号  \* MERGEFORMAT </w:instrText>
    </w:r>
    <w:r>
      <w:fldChar w:fldCharType="separate"/>
    </w:r>
    <w:r>
      <w:t>T/XXX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CE025E"/>
    <w:multiLevelType w:val="multilevel"/>
    <w:tmpl w:val="BACE025E"/>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EBB0CA01"/>
    <w:multiLevelType w:val="multilevel"/>
    <w:tmpl w:val="EBB0CA01"/>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58E134D"/>
    <w:multiLevelType w:val="multilevel"/>
    <w:tmpl w:val="058E134D"/>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99F3DB4"/>
    <w:multiLevelType w:val="multilevel"/>
    <w:tmpl w:val="099F3DB4"/>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1">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3">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4">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5">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6">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48452AC"/>
    <w:multiLevelType w:val="singleLevel"/>
    <w:tmpl w:val="548452AC"/>
    <w:lvl w:ilvl="0" w:tentative="0">
      <w:start w:val="1"/>
      <w:numFmt w:val="decimal"/>
      <w:lvlText w:val="[%1]"/>
      <w:lvlJc w:val="left"/>
      <w:pPr>
        <w:tabs>
          <w:tab w:val="left" w:pos="312"/>
        </w:tabs>
      </w:pPr>
    </w:lvl>
  </w:abstractNum>
  <w:abstractNum w:abstractNumId="21">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5958BC6D"/>
    <w:multiLevelType w:val="multilevel"/>
    <w:tmpl w:val="5958BC6D"/>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5">
    <w:nsid w:val="623AC5BD"/>
    <w:multiLevelType w:val="multilevel"/>
    <w:tmpl w:val="623AC5BD"/>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6">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1">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4">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5">
    <w:nsid w:val="72CD1B55"/>
    <w:multiLevelType w:val="multilevel"/>
    <w:tmpl w:val="72CD1B55"/>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6">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7">
    <w:nsid w:val="77E63C46"/>
    <w:multiLevelType w:val="multilevel"/>
    <w:tmpl w:val="77E63C46"/>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37"/>
  </w:num>
  <w:num w:numId="3">
    <w:abstractNumId w:val="9"/>
  </w:num>
  <w:num w:numId="4">
    <w:abstractNumId w:val="29"/>
  </w:num>
  <w:num w:numId="5">
    <w:abstractNumId w:val="22"/>
  </w:num>
  <w:num w:numId="6">
    <w:abstractNumId w:val="16"/>
  </w:num>
  <w:num w:numId="7">
    <w:abstractNumId w:val="12"/>
  </w:num>
  <w:num w:numId="8">
    <w:abstractNumId w:val="6"/>
  </w:num>
  <w:num w:numId="9">
    <w:abstractNumId w:val="13"/>
  </w:num>
  <w:num w:numId="10">
    <w:abstractNumId w:val="19"/>
  </w:num>
  <w:num w:numId="11">
    <w:abstractNumId w:val="31"/>
  </w:num>
  <w:num w:numId="12">
    <w:abstractNumId w:val="15"/>
  </w:num>
  <w:num w:numId="13">
    <w:abstractNumId w:val="4"/>
  </w:num>
  <w:num w:numId="14">
    <w:abstractNumId w:val="11"/>
  </w:num>
  <w:num w:numId="15">
    <w:abstractNumId w:val="23"/>
  </w:num>
  <w:num w:numId="16">
    <w:abstractNumId w:val="27"/>
  </w:num>
  <w:num w:numId="17">
    <w:abstractNumId w:val="21"/>
  </w:num>
  <w:num w:numId="18">
    <w:abstractNumId w:val="34"/>
  </w:num>
  <w:num w:numId="19">
    <w:abstractNumId w:val="18"/>
  </w:num>
  <w:num w:numId="20">
    <w:abstractNumId w:val="3"/>
  </w:num>
  <w:num w:numId="21">
    <w:abstractNumId w:val="14"/>
  </w:num>
  <w:num w:numId="22">
    <w:abstractNumId w:val="36"/>
  </w:num>
  <w:num w:numId="23">
    <w:abstractNumId w:val="26"/>
  </w:num>
  <w:num w:numId="24">
    <w:abstractNumId w:val="10"/>
  </w:num>
  <w:num w:numId="25">
    <w:abstractNumId w:val="32"/>
  </w:num>
  <w:num w:numId="26">
    <w:abstractNumId w:val="33"/>
  </w:num>
  <w:num w:numId="27">
    <w:abstractNumId w:val="5"/>
  </w:num>
  <w:num w:numId="28">
    <w:abstractNumId w:val="8"/>
  </w:num>
  <w:num w:numId="29">
    <w:abstractNumId w:val="17"/>
  </w:num>
  <w:num w:numId="30">
    <w:abstractNumId w:val="30"/>
  </w:num>
  <w:num w:numId="31">
    <w:abstractNumId w:val="28"/>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dit="forms" w:enforcement="1" w:cryptProviderType="rsaFull" w:cryptAlgorithmClass="hash" w:cryptAlgorithmType="typeAny" w:cryptAlgorithmSid="4" w:cryptSpinCount="0" w:hash="FHZmyz/KIAhG6ALywfQ6HugBxyU=" w:salt="fjMgz1v6Am0NtZuf0z1O7w=="/>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64E5C4A"/>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C70C78"/>
    <w:rsid w:val="021B4775"/>
    <w:rsid w:val="0518698D"/>
    <w:rsid w:val="0717362C"/>
    <w:rsid w:val="09651747"/>
    <w:rsid w:val="0C4C382C"/>
    <w:rsid w:val="0FAF040A"/>
    <w:rsid w:val="10524E3F"/>
    <w:rsid w:val="142A4BB5"/>
    <w:rsid w:val="16562581"/>
    <w:rsid w:val="16BE47F8"/>
    <w:rsid w:val="16F01CC3"/>
    <w:rsid w:val="186213B3"/>
    <w:rsid w:val="1C526C95"/>
    <w:rsid w:val="1DEB7D24"/>
    <w:rsid w:val="22712318"/>
    <w:rsid w:val="2512517D"/>
    <w:rsid w:val="25200F28"/>
    <w:rsid w:val="26B73F96"/>
    <w:rsid w:val="27F62C29"/>
    <w:rsid w:val="2C3152D5"/>
    <w:rsid w:val="2D391CAC"/>
    <w:rsid w:val="32754B1C"/>
    <w:rsid w:val="349029F9"/>
    <w:rsid w:val="35055ACC"/>
    <w:rsid w:val="3767333E"/>
    <w:rsid w:val="37E11607"/>
    <w:rsid w:val="3C6D35E8"/>
    <w:rsid w:val="3E197EA2"/>
    <w:rsid w:val="3F381979"/>
    <w:rsid w:val="3F79605C"/>
    <w:rsid w:val="40DF25DF"/>
    <w:rsid w:val="41097822"/>
    <w:rsid w:val="4263627D"/>
    <w:rsid w:val="428B1338"/>
    <w:rsid w:val="455F59D1"/>
    <w:rsid w:val="51054977"/>
    <w:rsid w:val="51EC26E6"/>
    <w:rsid w:val="522B7D04"/>
    <w:rsid w:val="53911288"/>
    <w:rsid w:val="53E93CA4"/>
    <w:rsid w:val="56582839"/>
    <w:rsid w:val="582D3E52"/>
    <w:rsid w:val="58EB5D7F"/>
    <w:rsid w:val="5B445318"/>
    <w:rsid w:val="5C142F3C"/>
    <w:rsid w:val="5D7B4FAE"/>
    <w:rsid w:val="609907A5"/>
    <w:rsid w:val="60C72393"/>
    <w:rsid w:val="615856CA"/>
    <w:rsid w:val="6472739A"/>
    <w:rsid w:val="64C54CC9"/>
    <w:rsid w:val="669A5813"/>
    <w:rsid w:val="68BB130F"/>
    <w:rsid w:val="69B978CF"/>
    <w:rsid w:val="6D5D262A"/>
    <w:rsid w:val="6E172778"/>
    <w:rsid w:val="70566167"/>
    <w:rsid w:val="711B2066"/>
    <w:rsid w:val="745F5557"/>
    <w:rsid w:val="75A51BF9"/>
    <w:rsid w:val="764E5C4A"/>
    <w:rsid w:val="776D1464"/>
    <w:rsid w:val="7A824519"/>
    <w:rsid w:val="7CB31CAC"/>
    <w:rsid w:val="7FEC3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rPr>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Times New Roman"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style>
  <w:style w:type="paragraph" w:customStyle="1" w:styleId="190">
    <w:name w:val="标准文件_一级项2"/>
    <w:basedOn w:val="57"/>
    <w:qFormat/>
    <w:uiPriority w:val="0"/>
    <w:pPr>
      <w:numPr>
        <w:ilvl w:val="0"/>
        <w:numId w:val="31"/>
      </w:numPr>
      <w:spacing w:line="300" w:lineRule="exact"/>
      <w:ind w:firstLineChars="0"/>
    </w:p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jpe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B3BEDB4F2724F9D81F4444A5CCE266D"/>
        <w:style w:val=""/>
        <w:category>
          <w:name w:val="常规"/>
          <w:gallery w:val="placeholder"/>
        </w:category>
        <w:types>
          <w:type w:val="bbPlcHdr"/>
        </w:types>
        <w:behaviors>
          <w:behavior w:val="content"/>
        </w:behaviors>
        <w:description w:val=""/>
        <w:guid w:val="{9A791DFB-56F6-4B85-997E-8EF3CEE1C2DA}"/>
      </w:docPartPr>
      <w:docPartBody>
        <w:p w14:paraId="375BFB66">
          <w:pPr>
            <w:pStyle w:val="5"/>
          </w:pPr>
          <w:r>
            <w:rPr>
              <w:rStyle w:val="4"/>
              <w:rFonts w:hint="eastAsia"/>
            </w:rPr>
            <w:t>单击或点击此处输入文字。</w:t>
          </w:r>
        </w:p>
      </w:docPartBody>
    </w:docPart>
    <w:docPart>
      <w:docPartPr>
        <w:name w:val="78956B8278AF41489B4C226600D2E8C4"/>
        <w:style w:val=""/>
        <w:category>
          <w:name w:val="常规"/>
          <w:gallery w:val="placeholder"/>
        </w:category>
        <w:types>
          <w:type w:val="bbPlcHdr"/>
        </w:types>
        <w:behaviors>
          <w:behavior w:val="content"/>
        </w:behaviors>
        <w:description w:val=""/>
        <w:guid w:val="{35D7B9DB-82B3-43EC-9478-2F4253E62990}"/>
      </w:docPartPr>
      <w:docPartBody>
        <w:p w14:paraId="1DEFECB5">
          <w:pPr>
            <w:pStyle w:val="6"/>
          </w:pPr>
          <w:r>
            <w:rPr>
              <w:rStyle w:val="4"/>
              <w:rFonts w:hint="eastAsia"/>
            </w:rPr>
            <w:t>选择一项。</w:t>
          </w:r>
        </w:p>
      </w:docPartBody>
    </w:docPart>
    <w:docPart>
      <w:docPartPr>
        <w:name w:val="DD487E154D8B46B1811108614A11313A"/>
        <w:style w:val=""/>
        <w:category>
          <w:name w:val="常规"/>
          <w:gallery w:val="placeholder"/>
        </w:category>
        <w:types>
          <w:type w:val="bbPlcHdr"/>
        </w:types>
        <w:behaviors>
          <w:behavior w:val="content"/>
        </w:behaviors>
        <w:description w:val=""/>
        <w:guid w:val="{BDA84726-025B-4CC9-AFA0-B8C5A34685AA}"/>
      </w:docPartPr>
      <w:docPartBody>
        <w:p w14:paraId="7B0CF013">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0EA"/>
    <w:rsid w:val="005D70EA"/>
    <w:rsid w:val="006E2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B3BEDB4F2724F9D81F4444A5CCE266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8956B8278AF41489B4C226600D2E8C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DD487E154D8B46B1811108614A11313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Pages>9</Pages>
  <Words>2125</Words>
  <Characters>2660</Characters>
  <Lines>4</Lines>
  <Paragraphs>1</Paragraphs>
  <TotalTime>7</TotalTime>
  <ScaleCrop>false</ScaleCrop>
  <LinksUpToDate>false</LinksUpToDate>
  <CharactersWithSpaces>2819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2026-06-25T08:17:00Z</dcterms:created>
  <dc:creator>彭春涛</dc:creator>
  <cp:lastModifiedBy>彭春涛</cp:lastModifiedBy>
  <dcterms:modified xsi:type="dcterms:W3CDTF">2026-07-13T03:21:20Z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DBDED5783E554F4F834F78317B549892_13</vt:lpwstr>
  </property>
  <property fmtid="{D5CDD505-2E9C-101B-9397-08002B2CF9AE}" pid="15" name="KSOTemplateDocerSaveRecord">
    <vt:lpwstr>eyJoZGlkIjoiNThlNTZkZDIxMDY0ZWRmOGE5N2MwMDgwZTkyMmI1NmEiLCJ1c2VySWQiOiIyMzgzMzA4MzIifQ==</vt:lpwstr>
  </property>
  <property fmtid="{D5CDD505-2E9C-101B-9397-08002B2CF9AE}" pid="16" name="KSOProductBuildVer">
    <vt:lpwstr>2052-12.1.0.26895</vt:lpwstr>
  </property>
</Properties>
</file>