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C43F1">
      <w:pPr>
        <w:pStyle w:val="14"/>
        <w:framePr w:w="0" w:hRule="auto" w:wrap="auto" w:vAnchor="margin" w:hAnchor="text" w:xAlign="left" w:yAlign="inline"/>
        <w:spacing w:line="360" w:lineRule="auto"/>
        <w:rPr>
          <w:rFonts w:hint="eastAsia" w:ascii="仿宋" w:hAnsi="仿宋" w:eastAsia="仿宋"/>
          <w:b/>
          <w:bCs/>
          <w:szCs w:val="52"/>
        </w:rPr>
      </w:pPr>
      <w:bookmarkStart w:id="0" w:name="_Hlk139125397"/>
    </w:p>
    <w:p w14:paraId="2F23C211">
      <w:pPr>
        <w:pStyle w:val="14"/>
        <w:framePr w:w="0" w:hRule="auto" w:wrap="auto" w:vAnchor="margin" w:hAnchor="text" w:xAlign="left" w:yAlign="inline"/>
        <w:spacing w:line="360" w:lineRule="auto"/>
        <w:rPr>
          <w:rFonts w:ascii="仿宋" w:hAnsi="仿宋" w:eastAsia="仿宋"/>
          <w:b/>
          <w:bCs/>
          <w:szCs w:val="52"/>
        </w:rPr>
      </w:pPr>
      <w:r>
        <w:rPr>
          <w:rFonts w:hint="eastAsia" w:ascii="仿宋" w:hAnsi="仿宋" w:eastAsia="仿宋"/>
          <w:b/>
          <w:bCs/>
          <w:szCs w:val="52"/>
        </w:rPr>
        <w:t>宁夏机械工程学会团体标准</w:t>
      </w:r>
    </w:p>
    <w:bookmarkEnd w:id="0"/>
    <w:p w14:paraId="528945B2">
      <w:pPr>
        <w:pStyle w:val="14"/>
        <w:framePr w:w="0" w:hRule="auto" w:wrap="auto" w:vAnchor="margin" w:hAnchor="text" w:xAlign="left" w:yAlign="inline"/>
        <w:spacing w:line="360" w:lineRule="auto"/>
        <w:rPr>
          <w:rFonts w:hint="eastAsia" w:ascii="仿宋" w:hAnsi="仿宋" w:eastAsia="仿宋"/>
          <w:b/>
          <w:bCs/>
          <w:szCs w:val="52"/>
        </w:rPr>
      </w:pPr>
    </w:p>
    <w:p w14:paraId="409685B0">
      <w:pPr>
        <w:pStyle w:val="14"/>
        <w:framePr w:w="0" w:hRule="auto" w:wrap="auto" w:vAnchor="margin" w:hAnchor="text" w:xAlign="left" w:yAlign="inline"/>
        <w:spacing w:line="360" w:lineRule="auto"/>
        <w:rPr>
          <w:rFonts w:hint="eastAsia" w:ascii="仿宋" w:hAnsi="仿宋" w:eastAsia="仿宋"/>
          <w:b/>
          <w:bCs/>
          <w:szCs w:val="52"/>
        </w:rPr>
      </w:pPr>
    </w:p>
    <w:p w14:paraId="62C2EA52">
      <w:pPr>
        <w:pStyle w:val="14"/>
        <w:framePr w:w="0" w:hRule="auto" w:wrap="auto" w:vAnchor="margin" w:hAnchor="text" w:xAlign="left" w:yAlign="inline"/>
        <w:spacing w:line="360" w:lineRule="auto"/>
        <w:rPr>
          <w:rFonts w:hint="eastAsia" w:ascii="仿宋" w:hAnsi="仿宋" w:eastAsia="仿宋"/>
          <w:b/>
          <w:bCs/>
          <w:szCs w:val="52"/>
        </w:rPr>
      </w:pPr>
    </w:p>
    <w:p w14:paraId="4C263DA6">
      <w:pPr>
        <w:pStyle w:val="14"/>
        <w:framePr w:w="0" w:hRule="auto" w:wrap="auto" w:vAnchor="margin" w:hAnchor="text" w:xAlign="left" w:yAlign="inline"/>
        <w:spacing w:line="360" w:lineRule="auto"/>
        <w:jc w:val="center"/>
        <w:rPr>
          <w:sz w:val="48"/>
          <w:szCs w:val="48"/>
        </w:rPr>
      </w:pPr>
      <w:r>
        <w:rPr>
          <w:rFonts w:hint="eastAsia"/>
          <w:sz w:val="48"/>
          <w:szCs w:val="48"/>
        </w:rPr>
        <w:t>《矿用高强度圆环链制造工艺规范》</w:t>
      </w:r>
    </w:p>
    <w:p w14:paraId="7217EEAE"/>
    <w:p w14:paraId="1B2C8033">
      <w:pPr>
        <w:jc w:val="center"/>
      </w:pPr>
      <w:r>
        <w:rPr>
          <w:rFonts w:hint="eastAsia"/>
          <w:b/>
          <w:sz w:val="36"/>
          <w:szCs w:val="24"/>
        </w:rPr>
        <w:t>（征求意见稿）</w:t>
      </w:r>
    </w:p>
    <w:p w14:paraId="153EE917"/>
    <w:p w14:paraId="2980D28D"/>
    <w:p w14:paraId="4E1A31BB"/>
    <w:p w14:paraId="5DF2A9D9"/>
    <w:p w14:paraId="416ADEA5">
      <w:pPr>
        <w:adjustRightInd w:val="0"/>
        <w:snapToGrid w:val="0"/>
        <w:spacing w:line="360" w:lineRule="auto"/>
        <w:jc w:val="center"/>
        <w:rPr>
          <w:rFonts w:ascii="宋体" w:hAnsi="宋体"/>
          <w:bCs/>
          <w:sz w:val="44"/>
          <w:szCs w:val="44"/>
        </w:rPr>
      </w:pPr>
      <w:r>
        <w:rPr>
          <w:rFonts w:hint="eastAsia" w:ascii="宋体" w:hAnsi="宋体"/>
          <w:bCs/>
          <w:sz w:val="44"/>
          <w:szCs w:val="44"/>
        </w:rPr>
        <w:t>编制说明</w:t>
      </w:r>
    </w:p>
    <w:p w14:paraId="3BEC4099">
      <w:pPr>
        <w:jc w:val="center"/>
      </w:pPr>
    </w:p>
    <w:p w14:paraId="7177138F">
      <w:pPr>
        <w:jc w:val="center"/>
      </w:pPr>
    </w:p>
    <w:p w14:paraId="003636F6">
      <w:pPr>
        <w:jc w:val="center"/>
      </w:pPr>
    </w:p>
    <w:p w14:paraId="3AE71EF5">
      <w:pPr>
        <w:jc w:val="center"/>
      </w:pPr>
    </w:p>
    <w:p w14:paraId="4F9B818F">
      <w:pPr>
        <w:jc w:val="center"/>
      </w:pPr>
    </w:p>
    <w:p w14:paraId="1BC62A09">
      <w:pPr>
        <w:jc w:val="center"/>
      </w:pPr>
    </w:p>
    <w:p w14:paraId="06FD1271">
      <w:pPr>
        <w:jc w:val="center"/>
      </w:pPr>
    </w:p>
    <w:p w14:paraId="1C476201">
      <w:pPr>
        <w:jc w:val="center"/>
      </w:pPr>
    </w:p>
    <w:p w14:paraId="714DDD69">
      <w:pPr>
        <w:adjustRightInd w:val="0"/>
        <w:snapToGrid w:val="0"/>
        <w:spacing w:line="360" w:lineRule="auto"/>
        <w:jc w:val="center"/>
        <w:rPr>
          <w:rFonts w:hint="eastAsia" w:ascii="宋体" w:hAnsi="宋体"/>
          <w:bCs/>
          <w:sz w:val="36"/>
          <w:szCs w:val="36"/>
        </w:rPr>
      </w:pPr>
      <w:r>
        <w:rPr>
          <w:rFonts w:hint="eastAsia" w:ascii="宋体" w:hAnsi="宋体"/>
          <w:bCs/>
          <w:sz w:val="36"/>
          <w:szCs w:val="36"/>
        </w:rPr>
        <w:t>宁夏天地奔牛链条有限公司</w:t>
      </w:r>
    </w:p>
    <w:p w14:paraId="798785D2">
      <w:pPr>
        <w:adjustRightInd w:val="0"/>
        <w:snapToGrid w:val="0"/>
        <w:spacing w:line="360" w:lineRule="auto"/>
        <w:jc w:val="center"/>
        <w:rPr>
          <w:rFonts w:ascii="宋体" w:hAnsi="宋体"/>
          <w:bCs/>
          <w:sz w:val="32"/>
          <w:szCs w:val="32"/>
        </w:rPr>
      </w:pPr>
      <w:r>
        <w:rPr>
          <w:rFonts w:hint="eastAsia" w:ascii="宋体" w:hAnsi="宋体"/>
          <w:bCs/>
          <w:sz w:val="32"/>
          <w:szCs w:val="32"/>
        </w:rPr>
        <w:t>宁夏天地奔牛实业集团有限公司</w:t>
      </w:r>
    </w:p>
    <w:p w14:paraId="126D7101">
      <w:pPr>
        <w:adjustRightInd w:val="0"/>
        <w:snapToGrid w:val="0"/>
        <w:spacing w:line="360" w:lineRule="auto"/>
        <w:jc w:val="center"/>
        <w:rPr>
          <w:rFonts w:ascii="宋体" w:hAnsi="宋体"/>
          <w:bCs/>
          <w:sz w:val="36"/>
          <w:szCs w:val="36"/>
        </w:rPr>
      </w:pPr>
      <w:r>
        <w:rPr>
          <w:rFonts w:hint="eastAsia" w:ascii="宋体" w:hAnsi="宋体"/>
          <w:bCs/>
          <w:sz w:val="36"/>
          <w:szCs w:val="36"/>
        </w:rPr>
        <w:t>长春东北输送链条制造有限公司</w:t>
      </w:r>
    </w:p>
    <w:p w14:paraId="0B94DC0E">
      <w:pPr>
        <w:adjustRightInd w:val="0"/>
        <w:snapToGrid w:val="0"/>
        <w:spacing w:line="360" w:lineRule="auto"/>
        <w:jc w:val="center"/>
        <w:rPr>
          <w:rFonts w:ascii="宋体" w:hAnsi="宋体"/>
          <w:bCs/>
          <w:sz w:val="36"/>
          <w:szCs w:val="36"/>
        </w:rPr>
      </w:pPr>
      <w:r>
        <w:rPr>
          <w:rFonts w:hint="eastAsia" w:ascii="宋体" w:hAnsi="宋体"/>
          <w:bCs/>
          <w:sz w:val="36"/>
          <w:szCs w:val="36"/>
        </w:rPr>
        <w:t>202</w:t>
      </w:r>
      <w:r>
        <w:rPr>
          <w:rFonts w:hint="eastAsia" w:ascii="宋体" w:hAnsi="宋体"/>
          <w:bCs/>
          <w:sz w:val="36"/>
          <w:szCs w:val="36"/>
          <w:lang w:val="en-US" w:eastAsia="zh-CN"/>
        </w:rPr>
        <w:t>5</w:t>
      </w:r>
      <w:r>
        <w:rPr>
          <w:rFonts w:hint="eastAsia" w:ascii="宋体" w:hAnsi="宋体"/>
          <w:bCs/>
          <w:sz w:val="36"/>
          <w:szCs w:val="36"/>
        </w:rPr>
        <w:t>年</w:t>
      </w:r>
      <w:r>
        <w:rPr>
          <w:rFonts w:hint="eastAsia" w:ascii="宋体" w:hAnsi="宋体"/>
          <w:bCs/>
          <w:sz w:val="36"/>
          <w:szCs w:val="36"/>
          <w:lang w:val="en-US" w:eastAsia="zh-CN"/>
        </w:rPr>
        <w:t>5</w:t>
      </w:r>
      <w:r>
        <w:rPr>
          <w:rFonts w:hint="eastAsia" w:ascii="宋体" w:hAnsi="宋体"/>
          <w:bCs/>
          <w:sz w:val="36"/>
          <w:szCs w:val="36"/>
        </w:rPr>
        <w:t>月</w:t>
      </w:r>
    </w:p>
    <w:p w14:paraId="4EF32D00">
      <w:pPr>
        <w:jc w:val="both"/>
      </w:pPr>
    </w:p>
    <w:p w14:paraId="6212311D">
      <w:pPr>
        <w:pStyle w:val="28"/>
        <w:numPr>
          <w:ilvl w:val="0"/>
          <w:numId w:val="6"/>
        </w:numPr>
        <w:spacing w:line="360" w:lineRule="auto"/>
        <w:ind w:firstLineChars="0"/>
        <w:rPr>
          <w:rFonts w:ascii="黑体" w:hAnsi="黑体" w:eastAsia="黑体"/>
          <w:sz w:val="28"/>
          <w:szCs w:val="28"/>
        </w:rPr>
      </w:pPr>
      <w:r>
        <w:rPr>
          <w:rFonts w:hint="eastAsia" w:ascii="黑体" w:hAnsi="黑体" w:eastAsia="黑体"/>
          <w:b/>
          <w:bCs/>
          <w:sz w:val="28"/>
          <w:szCs w:val="28"/>
        </w:rPr>
        <w:t>工作简况</w:t>
      </w:r>
    </w:p>
    <w:p w14:paraId="6EF316C0">
      <w:pPr>
        <w:pStyle w:val="28"/>
        <w:numPr>
          <w:ilvl w:val="0"/>
          <w:numId w:val="7"/>
        </w:numPr>
        <w:spacing w:line="360" w:lineRule="auto"/>
        <w:ind w:firstLineChars="0"/>
        <w:rPr>
          <w:rFonts w:ascii="宋体" w:hAnsi="宋体"/>
          <w:b/>
          <w:bCs/>
          <w:sz w:val="24"/>
          <w:szCs w:val="24"/>
        </w:rPr>
      </w:pPr>
      <w:r>
        <w:rPr>
          <w:rFonts w:hint="eastAsia" w:ascii="黑体" w:hAnsi="黑体" w:eastAsia="黑体"/>
          <w:b/>
          <w:bCs/>
          <w:sz w:val="28"/>
          <w:szCs w:val="28"/>
        </w:rPr>
        <w:t>任务来源</w:t>
      </w:r>
    </w:p>
    <w:p w14:paraId="727B453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本项目是根据宁夏机械工程学会202</w:t>
      </w:r>
      <w:r>
        <w:rPr>
          <w:rFonts w:hint="eastAsia" w:ascii="宋体" w:hAnsi="宋体" w:eastAsia="宋体"/>
          <w:sz w:val="24"/>
          <w:szCs w:val="24"/>
          <w:lang w:val="en-US" w:eastAsia="zh-CN"/>
        </w:rPr>
        <w:t>6</w:t>
      </w:r>
      <w:r>
        <w:rPr>
          <w:rFonts w:hint="eastAsia" w:ascii="宋体" w:hAnsi="宋体" w:eastAsia="宋体"/>
          <w:sz w:val="24"/>
          <w:szCs w:val="24"/>
        </w:rPr>
        <w:t>年第一批团体标准制定项目计划（宁机学</w:t>
      </w:r>
      <w:r>
        <w:rPr>
          <w:rFonts w:hint="eastAsia" w:ascii="宋体" w:hAnsi="宋体" w:eastAsia="宋体"/>
          <w:sz w:val="24"/>
          <w:szCs w:val="24"/>
          <w:lang w:val="en-US" w:eastAsia="zh-CN"/>
        </w:rPr>
        <w:t>字</w:t>
      </w:r>
      <w:r>
        <w:rPr>
          <w:rFonts w:hint="eastAsia" w:ascii="宋体" w:hAnsi="宋体" w:eastAsia="宋体"/>
          <w:sz w:val="24"/>
          <w:szCs w:val="24"/>
        </w:rPr>
        <w:t>〔202</w:t>
      </w:r>
      <w:r>
        <w:rPr>
          <w:rFonts w:hint="eastAsia" w:ascii="宋体" w:hAnsi="宋体" w:eastAsia="宋体"/>
          <w:sz w:val="24"/>
          <w:szCs w:val="24"/>
          <w:lang w:val="en-US" w:eastAsia="zh-CN"/>
        </w:rPr>
        <w:t>6</w:t>
      </w:r>
      <w:r>
        <w:rPr>
          <w:rFonts w:hint="eastAsia" w:ascii="宋体" w:hAnsi="宋体" w:eastAsia="宋体"/>
          <w:sz w:val="24"/>
          <w:szCs w:val="24"/>
        </w:rPr>
        <w:t>〕</w:t>
      </w:r>
      <w:r>
        <w:rPr>
          <w:rFonts w:hint="eastAsia" w:ascii="宋体" w:hAnsi="宋体" w:eastAsia="宋体"/>
          <w:sz w:val="24"/>
          <w:szCs w:val="24"/>
          <w:lang w:val="en-US" w:eastAsia="zh-CN"/>
        </w:rPr>
        <w:t>7</w:t>
      </w:r>
      <w:r>
        <w:rPr>
          <w:rFonts w:hint="eastAsia" w:ascii="宋体" w:hAnsi="宋体" w:eastAsia="宋体"/>
          <w:sz w:val="24"/>
          <w:szCs w:val="24"/>
        </w:rPr>
        <w:t>号“宁夏机械工程学会关于202</w:t>
      </w:r>
      <w:r>
        <w:rPr>
          <w:rFonts w:hint="eastAsia" w:ascii="宋体" w:hAnsi="宋体" w:eastAsia="宋体"/>
          <w:sz w:val="24"/>
          <w:szCs w:val="24"/>
          <w:lang w:val="en-US" w:eastAsia="zh-CN"/>
        </w:rPr>
        <w:t>6</w:t>
      </w:r>
      <w:r>
        <w:rPr>
          <w:rFonts w:hint="eastAsia" w:ascii="宋体" w:hAnsi="宋体" w:eastAsia="宋体"/>
          <w:sz w:val="24"/>
          <w:szCs w:val="24"/>
        </w:rPr>
        <w:t>年第一批团体标准立项的通知”）进行制定，计划编号：202</w:t>
      </w:r>
      <w:r>
        <w:rPr>
          <w:rFonts w:hint="eastAsia" w:ascii="宋体" w:hAnsi="宋体" w:eastAsia="宋体"/>
          <w:sz w:val="24"/>
          <w:szCs w:val="24"/>
          <w:lang w:val="en-US" w:eastAsia="zh-CN"/>
        </w:rPr>
        <w:t>6</w:t>
      </w:r>
      <w:r>
        <w:rPr>
          <w:rFonts w:hint="eastAsia" w:ascii="宋体" w:hAnsi="宋体" w:eastAsia="宋体"/>
          <w:sz w:val="24"/>
          <w:szCs w:val="24"/>
        </w:rPr>
        <w:t>-01</w:t>
      </w:r>
      <w:r>
        <w:rPr>
          <w:rFonts w:hint="eastAsia" w:ascii="宋体" w:hAnsi="宋体" w:eastAsia="宋体"/>
          <w:sz w:val="24"/>
          <w:szCs w:val="24"/>
          <w:lang w:val="en-US" w:eastAsia="zh-CN"/>
        </w:rPr>
        <w:t>11</w:t>
      </w:r>
      <w:r>
        <w:rPr>
          <w:rFonts w:hint="eastAsia" w:ascii="宋体" w:hAnsi="宋体" w:eastAsia="宋体"/>
          <w:sz w:val="24"/>
          <w:szCs w:val="24"/>
        </w:rPr>
        <w:t>T，项目名称：《矿用高强度圆环链制造工艺规范》。主要起草单位：宁夏天地奔牛链条有限公司，参与单位</w:t>
      </w:r>
      <w:r>
        <w:rPr>
          <w:rFonts w:hint="eastAsia" w:ascii="宋体" w:hAnsi="宋体" w:eastAsia="宋体"/>
          <w:sz w:val="24"/>
          <w:szCs w:val="24"/>
          <w:lang w:eastAsia="zh-CN"/>
        </w:rPr>
        <w:t>：</w:t>
      </w:r>
      <w:r>
        <w:rPr>
          <w:rFonts w:hint="eastAsia" w:ascii="宋体" w:hAnsi="宋体" w:eastAsia="宋体"/>
          <w:sz w:val="24"/>
          <w:szCs w:val="24"/>
        </w:rPr>
        <w:t>宁夏天地奔牛实业集团有限公司、长春东北输送链条制造有限公司，计划应完成时间：202</w:t>
      </w:r>
      <w:r>
        <w:rPr>
          <w:rFonts w:hint="eastAsia" w:ascii="宋体" w:hAnsi="宋体" w:eastAsia="宋体"/>
          <w:sz w:val="24"/>
          <w:szCs w:val="24"/>
          <w:lang w:val="en-US" w:eastAsia="zh-CN"/>
        </w:rPr>
        <w:t>6</w:t>
      </w:r>
      <w:r>
        <w:rPr>
          <w:rFonts w:hint="eastAsia" w:ascii="宋体" w:hAnsi="宋体" w:eastAsia="宋体"/>
          <w:sz w:val="24"/>
          <w:szCs w:val="24"/>
        </w:rPr>
        <w:t>年10月。</w:t>
      </w:r>
    </w:p>
    <w:p w14:paraId="2799FD4A">
      <w:pPr>
        <w:pStyle w:val="28"/>
        <w:numPr>
          <w:ilvl w:val="0"/>
          <w:numId w:val="7"/>
        </w:numPr>
        <w:spacing w:line="360" w:lineRule="auto"/>
        <w:ind w:firstLineChars="0"/>
        <w:rPr>
          <w:rFonts w:ascii="黑体" w:hAnsi="黑体" w:eastAsia="黑体"/>
          <w:b/>
          <w:bCs/>
          <w:sz w:val="28"/>
          <w:szCs w:val="28"/>
        </w:rPr>
      </w:pPr>
      <w:r>
        <w:rPr>
          <w:rFonts w:hint="eastAsia" w:ascii="黑体" w:hAnsi="黑体" w:eastAsia="黑体"/>
          <w:b/>
          <w:bCs/>
          <w:sz w:val="28"/>
          <w:szCs w:val="28"/>
        </w:rPr>
        <w:t>主要工作过程</w:t>
      </w:r>
    </w:p>
    <w:p w14:paraId="07BEDEA9">
      <w:pPr>
        <w:widowControl/>
        <w:spacing w:beforeLines="0" w:afterLines="0" w:line="360" w:lineRule="auto"/>
        <w:ind w:firstLine="464" w:firstLineChars="200"/>
        <w:rPr>
          <w:rFonts w:hint="eastAsia" w:ascii="宋体" w:hAnsi="宋体" w:cs="宋体"/>
          <w:spacing w:val="-4"/>
          <w:sz w:val="24"/>
          <w:szCs w:val="24"/>
        </w:rPr>
      </w:pPr>
      <w:r>
        <w:rPr>
          <w:rFonts w:hint="eastAsia" w:ascii="宋体" w:hAnsi="宋体" w:cs="宋体"/>
          <w:spacing w:val="-4"/>
          <w:sz w:val="24"/>
          <w:szCs w:val="24"/>
        </w:rPr>
        <w:t>起草（草案、论证）阶段：</w:t>
      </w:r>
    </w:p>
    <w:p w14:paraId="3A7BA591">
      <w:pPr>
        <w:spacing w:line="360" w:lineRule="auto"/>
        <w:ind w:firstLine="464" w:firstLineChars="200"/>
        <w:rPr>
          <w:rFonts w:hint="eastAsia" w:ascii="宋体" w:hAnsi="宋体" w:eastAsia="宋体"/>
          <w:sz w:val="24"/>
          <w:szCs w:val="24"/>
          <w:lang w:val="en-US" w:eastAsia="zh-CN"/>
        </w:rPr>
      </w:pPr>
      <w:r>
        <w:rPr>
          <w:rFonts w:hint="eastAsia" w:ascii="宋体" w:hAnsi="宋体" w:cs="宋体"/>
          <w:spacing w:val="-4"/>
          <w:sz w:val="24"/>
          <w:szCs w:val="24"/>
        </w:rPr>
        <w:t>从标准立项以来，本文件由</w:t>
      </w:r>
      <w:r>
        <w:rPr>
          <w:rFonts w:hint="eastAsia" w:ascii="宋体" w:hAnsi="宋体" w:eastAsia="宋体"/>
          <w:sz w:val="24"/>
          <w:szCs w:val="24"/>
        </w:rPr>
        <w:t>宁夏天地奔牛链条有限公司</w:t>
      </w:r>
      <w:r>
        <w:rPr>
          <w:rFonts w:hint="eastAsia" w:ascii="宋体" w:hAnsi="宋体" w:cs="宋体"/>
          <w:spacing w:val="-4"/>
          <w:sz w:val="24"/>
          <w:szCs w:val="24"/>
        </w:rPr>
        <w:t>牵头组织实施，202</w:t>
      </w:r>
      <w:r>
        <w:rPr>
          <w:rFonts w:hint="eastAsia" w:ascii="宋体" w:hAnsi="宋体" w:cs="宋体"/>
          <w:spacing w:val="-4"/>
          <w:sz w:val="24"/>
          <w:szCs w:val="24"/>
          <w:lang w:val="en-US" w:eastAsia="zh-CN"/>
        </w:rPr>
        <w:t>6</w:t>
      </w:r>
      <w:r>
        <w:rPr>
          <w:rFonts w:hint="eastAsia" w:ascii="宋体" w:hAnsi="宋体" w:cs="宋体"/>
          <w:spacing w:val="-4"/>
          <w:sz w:val="24"/>
          <w:szCs w:val="24"/>
        </w:rPr>
        <w:t>年3月底，</w:t>
      </w:r>
      <w:r>
        <w:rPr>
          <w:rFonts w:hint="eastAsia" w:ascii="宋体" w:hAnsi="宋体" w:eastAsia="宋体"/>
          <w:sz w:val="24"/>
          <w:szCs w:val="24"/>
        </w:rPr>
        <w:t>宁夏天地奔牛链条有限公司</w:t>
      </w:r>
      <w:r>
        <w:rPr>
          <w:rFonts w:hint="eastAsia" w:ascii="宋体" w:hAnsi="宋体" w:cs="宋体"/>
          <w:spacing w:val="-4"/>
          <w:sz w:val="24"/>
          <w:szCs w:val="24"/>
        </w:rPr>
        <w:t>组织专家和相关单位成立了标准编制组。为确保本文件的先进性、科学性、合理性和可操作性，标准编制组成员通过收集国内外有关资料，对</w:t>
      </w:r>
      <w:r>
        <w:rPr>
          <w:rFonts w:hint="eastAsia" w:ascii="宋体" w:hAnsi="宋体" w:eastAsia="宋体"/>
          <w:sz w:val="24"/>
          <w:szCs w:val="24"/>
        </w:rPr>
        <w:t>矿用高强度圆环链制造</w:t>
      </w:r>
      <w:r>
        <w:rPr>
          <w:rFonts w:hint="eastAsia" w:ascii="宋体" w:hAnsi="宋体" w:cs="宋体"/>
          <w:spacing w:val="-4"/>
          <w:sz w:val="24"/>
          <w:szCs w:val="24"/>
        </w:rPr>
        <w:t>现状与发展情况进行深入讨论交流，同时，对部分</w:t>
      </w:r>
      <w:r>
        <w:rPr>
          <w:rFonts w:hint="eastAsia" w:ascii="宋体" w:hAnsi="宋体" w:eastAsia="宋体"/>
          <w:sz w:val="24"/>
          <w:szCs w:val="24"/>
        </w:rPr>
        <w:t>矿用高强度圆环链</w:t>
      </w:r>
      <w:r>
        <w:rPr>
          <w:rFonts w:hint="eastAsia" w:ascii="宋体" w:hAnsi="宋体" w:eastAsia="宋体"/>
          <w:sz w:val="24"/>
          <w:szCs w:val="24"/>
          <w:lang w:val="en-US" w:eastAsia="zh-CN"/>
        </w:rPr>
        <w:t>热编热焊制造</w:t>
      </w:r>
      <w:r>
        <w:rPr>
          <w:rFonts w:hint="eastAsia" w:ascii="宋体" w:hAnsi="宋体" w:cs="宋体"/>
          <w:spacing w:val="-4"/>
          <w:sz w:val="24"/>
          <w:szCs w:val="24"/>
        </w:rPr>
        <w:t xml:space="preserve">的企业、用户进行了调研，充分了解矿用高强度圆环链制造工艺规范的实际使用情况及存在的问题，并认真听取了生产企业的意见和建议，与项目参与单位共同研究确定了本文件的大纲，制定了计划项目工作进度，完成了标准的工作组讨论稿的编制工作。组织公司专家对文件内容进行反复研究修改，在广泛征求各方专家意见和建议的基础上，完成了标准的征求意见稿。 </w:t>
      </w:r>
    </w:p>
    <w:p w14:paraId="2C9D75FD">
      <w:pPr>
        <w:pStyle w:val="28"/>
        <w:numPr>
          <w:ilvl w:val="0"/>
          <w:numId w:val="7"/>
        </w:numPr>
        <w:spacing w:line="360" w:lineRule="auto"/>
        <w:ind w:firstLineChars="0"/>
        <w:rPr>
          <w:rFonts w:ascii="黑体" w:hAnsi="黑体" w:eastAsia="黑体"/>
          <w:b/>
          <w:bCs/>
          <w:sz w:val="28"/>
          <w:szCs w:val="28"/>
        </w:rPr>
      </w:pPr>
      <w:r>
        <w:rPr>
          <w:rFonts w:hint="eastAsia" w:ascii="黑体" w:hAnsi="黑体" w:eastAsia="黑体"/>
          <w:b/>
          <w:bCs/>
          <w:sz w:val="28"/>
          <w:szCs w:val="28"/>
        </w:rPr>
        <w:t>主要参加单位和工作组成员及其所做的工作</w:t>
      </w:r>
    </w:p>
    <w:p w14:paraId="48CAC872">
      <w:pPr>
        <w:widowControl/>
        <w:spacing w:beforeLines="0" w:afterLines="0" w:line="360" w:lineRule="auto"/>
        <w:ind w:firstLine="464" w:firstLineChars="200"/>
        <w:rPr>
          <w:rFonts w:hint="default" w:ascii="宋体" w:cs="宋体"/>
          <w:spacing w:val="-4"/>
          <w:sz w:val="24"/>
          <w:szCs w:val="24"/>
        </w:rPr>
      </w:pPr>
      <w:r>
        <w:rPr>
          <w:rFonts w:hint="eastAsia" w:ascii="宋体" w:hAnsi="宋体" w:cs="宋体"/>
          <w:spacing w:val="-4"/>
          <w:sz w:val="24"/>
          <w:szCs w:val="24"/>
        </w:rPr>
        <w:t>本文件由宁夏天地奔牛链条有限公司</w:t>
      </w:r>
      <w:r>
        <w:rPr>
          <w:rFonts w:hint="eastAsia" w:ascii="宋体" w:hAnsi="宋体" w:cs="宋体"/>
          <w:spacing w:val="-4"/>
          <w:sz w:val="24"/>
          <w:szCs w:val="24"/>
          <w:lang w:eastAsia="zh-CN"/>
        </w:rPr>
        <w:t>、</w:t>
      </w:r>
      <w:r>
        <w:rPr>
          <w:rFonts w:hint="eastAsia" w:ascii="宋体" w:hAnsi="宋体" w:cs="宋体"/>
          <w:spacing w:val="-4"/>
          <w:sz w:val="24"/>
          <w:szCs w:val="24"/>
        </w:rPr>
        <w:t>宁夏天地奔牛实业集团有限公司、长春东北输送链条制造有限公司共同起草。</w:t>
      </w:r>
    </w:p>
    <w:p w14:paraId="653C643F">
      <w:pPr>
        <w:widowControl/>
        <w:spacing w:beforeLines="0" w:afterLines="0" w:line="360" w:lineRule="auto"/>
        <w:ind w:firstLine="464" w:firstLineChars="200"/>
        <w:rPr>
          <w:rFonts w:hint="default" w:ascii="宋体" w:cs="宋体"/>
          <w:spacing w:val="-4"/>
          <w:sz w:val="24"/>
          <w:szCs w:val="24"/>
        </w:rPr>
      </w:pPr>
      <w:r>
        <w:rPr>
          <w:rFonts w:hint="eastAsia" w:ascii="宋体" w:hAnsi="宋体" w:cs="宋体"/>
          <w:spacing w:val="-4"/>
          <w:sz w:val="24"/>
          <w:szCs w:val="24"/>
        </w:rPr>
        <w:t>主要成员：陈兵、任园、高凤琴、彭春涛、吴立忠、田国柱、卜侃侃、朱永年、陈云、陈洪亮、丁瑜荣、袁雪伟、马斌、杨青、王继国、徐嘉凯、王彩君、李宗涛。</w:t>
      </w:r>
    </w:p>
    <w:p w14:paraId="5F910391">
      <w:pPr>
        <w:widowControl/>
        <w:spacing w:beforeLines="0" w:afterLines="0" w:line="360" w:lineRule="auto"/>
        <w:ind w:firstLine="464" w:firstLineChars="200"/>
        <w:rPr>
          <w:rFonts w:ascii="宋体" w:hAnsi="宋体" w:eastAsia="宋体"/>
          <w:sz w:val="24"/>
          <w:szCs w:val="24"/>
        </w:rPr>
      </w:pPr>
      <w:r>
        <w:rPr>
          <w:rFonts w:hint="eastAsia" w:cs="宋体"/>
          <w:spacing w:val="-4"/>
          <w:sz w:val="24"/>
          <w:szCs w:val="24"/>
        </w:rPr>
        <w:t>所做的工作：陈兵负责总体规划、协调、</w:t>
      </w:r>
      <w:r>
        <w:rPr>
          <w:rFonts w:hint="eastAsia" w:cs="宋体"/>
          <w:sz w:val="24"/>
          <w:szCs w:val="24"/>
          <w:lang w:bidi="ar"/>
        </w:rPr>
        <w:t>规范性引用文件查阅编制、术语和定义</w:t>
      </w:r>
      <w:r>
        <w:rPr>
          <w:rFonts w:hint="eastAsia" w:cs="宋体"/>
          <w:sz w:val="24"/>
          <w:szCs w:val="24"/>
          <w:lang w:eastAsia="zh-CN" w:bidi="ar"/>
        </w:rPr>
        <w:t>、制造工艺技术要求</w:t>
      </w:r>
      <w:r>
        <w:rPr>
          <w:rFonts w:hint="eastAsia" w:cs="宋体"/>
          <w:sz w:val="24"/>
          <w:szCs w:val="24"/>
          <w:lang w:bidi="ar"/>
        </w:rPr>
        <w:t>的编写；任园、高凤琴、彭春涛、吴立忠</w:t>
      </w:r>
      <w:r>
        <w:rPr>
          <w:rFonts w:hint="eastAsia" w:ascii="宋体" w:hAnsi="宋体" w:cs="宋体"/>
          <w:spacing w:val="-4"/>
          <w:sz w:val="24"/>
          <w:szCs w:val="24"/>
        </w:rPr>
        <w:t>、田国柱</w:t>
      </w:r>
      <w:r>
        <w:rPr>
          <w:rFonts w:hint="eastAsia" w:cs="宋体"/>
          <w:spacing w:val="-4"/>
          <w:sz w:val="24"/>
          <w:szCs w:val="24"/>
        </w:rPr>
        <w:t>负责起草</w:t>
      </w:r>
      <w:r>
        <w:rPr>
          <w:rFonts w:hint="eastAsia" w:cs="宋体"/>
          <w:sz w:val="24"/>
          <w:szCs w:val="24"/>
          <w:lang w:bidi="ar"/>
        </w:rPr>
        <w:t>制造准备</w:t>
      </w:r>
      <w:r>
        <w:rPr>
          <w:rFonts w:hint="eastAsia" w:ascii="宋体" w:hAnsi="宋体" w:cs="宋体"/>
          <w:sz w:val="24"/>
          <w:szCs w:val="24"/>
        </w:rPr>
        <w:t>等内容；</w:t>
      </w:r>
      <w:r>
        <w:rPr>
          <w:rFonts w:hint="eastAsia" w:ascii="宋体" w:hAnsi="宋体" w:cs="宋体"/>
          <w:spacing w:val="-4"/>
          <w:sz w:val="24"/>
          <w:szCs w:val="24"/>
        </w:rPr>
        <w:t>卜侃侃、朱永年、陈云、陈洪亮、丁瑜荣、袁雪伟</w:t>
      </w:r>
      <w:r>
        <w:rPr>
          <w:rFonts w:hint="eastAsia" w:cs="宋体"/>
          <w:spacing w:val="-4"/>
          <w:sz w:val="24"/>
          <w:szCs w:val="24"/>
        </w:rPr>
        <w:t>负责起草加热</w:t>
      </w:r>
      <w:r>
        <w:rPr>
          <w:rFonts w:hint="eastAsia" w:cs="宋体"/>
          <w:spacing w:val="-4"/>
          <w:sz w:val="24"/>
          <w:szCs w:val="24"/>
          <w:lang w:eastAsia="zh-CN"/>
        </w:rPr>
        <w:t>、</w:t>
      </w:r>
      <w:r>
        <w:rPr>
          <w:rFonts w:hint="eastAsia" w:cs="宋体"/>
          <w:spacing w:val="-4"/>
          <w:sz w:val="24"/>
          <w:szCs w:val="24"/>
        </w:rPr>
        <w:t>编链</w:t>
      </w:r>
      <w:r>
        <w:rPr>
          <w:rFonts w:hint="eastAsia" w:cs="宋体"/>
          <w:spacing w:val="-4"/>
          <w:sz w:val="24"/>
          <w:szCs w:val="24"/>
          <w:lang w:eastAsia="zh-CN"/>
        </w:rPr>
        <w:t>、焊接、去刺</w:t>
      </w:r>
      <w:r>
        <w:rPr>
          <w:rFonts w:hint="eastAsia" w:cs="宋体"/>
          <w:spacing w:val="-4"/>
          <w:sz w:val="24"/>
          <w:szCs w:val="24"/>
          <w:lang w:val="en-US" w:eastAsia="zh-CN"/>
        </w:rPr>
        <w:t>与</w:t>
      </w:r>
      <w:r>
        <w:rPr>
          <w:rFonts w:hint="eastAsia" w:cs="宋体"/>
          <w:spacing w:val="-4"/>
          <w:sz w:val="24"/>
          <w:szCs w:val="24"/>
        </w:rPr>
        <w:t>热处理</w:t>
      </w:r>
      <w:r>
        <w:rPr>
          <w:rFonts w:hint="eastAsia" w:ascii="宋体" w:hAnsi="宋体" w:cs="宋体"/>
          <w:sz w:val="24"/>
          <w:szCs w:val="24"/>
        </w:rPr>
        <w:t>等内容</w:t>
      </w:r>
      <w:r>
        <w:rPr>
          <w:rFonts w:hint="eastAsia"/>
          <w:spacing w:val="-2"/>
          <w:sz w:val="24"/>
          <w:szCs w:val="24"/>
        </w:rPr>
        <w:t>；</w:t>
      </w:r>
      <w:r>
        <w:rPr>
          <w:rFonts w:hint="eastAsia" w:ascii="宋体" w:hAnsi="宋体" w:cs="宋体"/>
          <w:spacing w:val="-4"/>
          <w:sz w:val="24"/>
          <w:szCs w:val="24"/>
        </w:rPr>
        <w:t>马斌、杨青、王继国、徐嘉凯、王彩君、李宗涛</w:t>
      </w:r>
      <w:r>
        <w:rPr>
          <w:rFonts w:hint="eastAsia" w:cs="宋体"/>
          <w:spacing w:val="-4"/>
          <w:sz w:val="24"/>
          <w:szCs w:val="24"/>
        </w:rPr>
        <w:t>负责起草预拉伸</w:t>
      </w:r>
      <w:r>
        <w:rPr>
          <w:rFonts w:hint="eastAsia" w:ascii="宋体" w:hAnsi="宋体" w:cs="宋体"/>
          <w:sz w:val="24"/>
          <w:szCs w:val="24"/>
        </w:rPr>
        <w:t>、测配</w:t>
      </w:r>
      <w:r>
        <w:rPr>
          <w:rFonts w:hint="eastAsia" w:ascii="宋体" w:hAnsi="宋体" w:cs="宋体"/>
          <w:sz w:val="24"/>
          <w:szCs w:val="24"/>
          <w:lang w:eastAsia="zh-CN"/>
        </w:rPr>
        <w:t>、检验检测要求</w:t>
      </w:r>
      <w:r>
        <w:rPr>
          <w:rFonts w:hint="eastAsia" w:ascii="宋体" w:hAnsi="宋体" w:cs="宋体"/>
          <w:sz w:val="24"/>
          <w:szCs w:val="24"/>
        </w:rPr>
        <w:t>等内容。</w:t>
      </w:r>
    </w:p>
    <w:p w14:paraId="147E33F1">
      <w:pPr>
        <w:pStyle w:val="28"/>
        <w:numPr>
          <w:ilvl w:val="0"/>
          <w:numId w:val="6"/>
        </w:numPr>
        <w:spacing w:line="360" w:lineRule="auto"/>
        <w:ind w:firstLineChars="0"/>
        <w:rPr>
          <w:rFonts w:ascii="黑体" w:hAnsi="黑体" w:eastAsia="黑体"/>
          <w:b/>
          <w:bCs/>
          <w:sz w:val="28"/>
          <w:szCs w:val="28"/>
        </w:rPr>
      </w:pPr>
      <w:r>
        <w:rPr>
          <w:rFonts w:hint="eastAsia" w:ascii="黑体" w:hAnsi="黑体" w:eastAsia="黑体"/>
          <w:b/>
          <w:bCs/>
          <w:sz w:val="28"/>
          <w:szCs w:val="28"/>
        </w:rPr>
        <w:t>标准化对象简要情况与标准编制原则</w:t>
      </w:r>
    </w:p>
    <w:p w14:paraId="489B54E1">
      <w:pPr>
        <w:pStyle w:val="28"/>
        <w:numPr>
          <w:ilvl w:val="0"/>
          <w:numId w:val="8"/>
        </w:numPr>
        <w:spacing w:line="360" w:lineRule="auto"/>
        <w:ind w:firstLineChars="0"/>
        <w:rPr>
          <w:rFonts w:ascii="黑体" w:hAnsi="黑体" w:eastAsia="黑体"/>
          <w:b/>
          <w:bCs/>
          <w:sz w:val="28"/>
          <w:szCs w:val="28"/>
        </w:rPr>
      </w:pPr>
      <w:r>
        <w:rPr>
          <w:rFonts w:hint="eastAsia" w:ascii="黑体" w:hAnsi="黑体" w:eastAsia="黑体"/>
          <w:b/>
          <w:bCs/>
          <w:sz w:val="28"/>
          <w:szCs w:val="28"/>
        </w:rPr>
        <w:t>标准化对象简要情况</w:t>
      </w:r>
    </w:p>
    <w:p w14:paraId="17FADAC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矿用高强度圆环链作为刮板输送机、刨煤机、提升设备等矿山关键装备的核心承载与传动部件，其制造质量直接关系到矿山安全生产和装备运行的可靠性。在煤矿井工开采等严苛工况下，高强度圆环链必须具备优异的抗拉强度、疲劳寿命及耐磨性能。</w:t>
      </w:r>
    </w:p>
    <w:p w14:paraId="4537E5F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目前，矿用高强度圆环链的制造虽已有部分产品标准与材料规范，但涵盖下料、编链、焊接、热处理、拉伸等全过程的统一制造工艺规范仍属空白。由于制造工序复杂、工艺参数不一，不同企业甚至同一企业不同批次的产品在性能一致性、疲劳寿命和可靠性方面存在显著差异，给设备安全运行带来隐患。</w:t>
      </w:r>
    </w:p>
    <w:p w14:paraId="38E616F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针对矿用高强度圆环链制造过程中缺乏系统工艺控制、质量波动大、工艺优化缺乏依据等问题，亟需制定《矿用高强度圆环链制造工艺规范》，明确各关键工序的工艺参数、操作流程、质量控制与检验要求，系统解决因工艺不统一导致的链环强度分散、焊接缺陷控制不足、热处理变形与残余应力难以控制、疲劳寿命不一致等技术难题。</w:t>
      </w:r>
    </w:p>
    <w:p w14:paraId="330E2F93">
      <w:pPr>
        <w:spacing w:line="360" w:lineRule="auto"/>
        <w:ind w:firstLine="480" w:firstLineChars="200"/>
        <w:rPr>
          <w:rFonts w:ascii="宋体" w:hAnsi="宋体" w:eastAsia="宋体"/>
          <w:sz w:val="24"/>
          <w:szCs w:val="24"/>
        </w:rPr>
      </w:pPr>
      <w:r>
        <w:rPr>
          <w:rFonts w:hint="eastAsia" w:ascii="宋体" w:hAnsi="宋体" w:eastAsia="宋体"/>
          <w:sz w:val="24"/>
          <w:szCs w:val="24"/>
        </w:rPr>
        <w:t>本规范围绕矿用高强度圆环链的热编热焊全流程工艺规范、热处理工艺控制、预拉伸工艺等核心环节，建立科学、可重复的工艺标准，不仅提升产品的一致性与可靠性，还可减少因工艺不当导致的返工与废品，推动行业制造水平整体提升，为矿山装备的长期稳定运行提供工艺保障。</w:t>
      </w:r>
    </w:p>
    <w:p w14:paraId="64CC9D7D">
      <w:pPr>
        <w:pStyle w:val="28"/>
        <w:numPr>
          <w:ilvl w:val="0"/>
          <w:numId w:val="8"/>
        </w:numPr>
        <w:spacing w:line="360" w:lineRule="auto"/>
        <w:ind w:firstLineChars="0"/>
        <w:rPr>
          <w:rFonts w:ascii="黑体" w:hAnsi="黑体" w:eastAsia="黑体"/>
          <w:b/>
          <w:bCs/>
          <w:sz w:val="28"/>
          <w:szCs w:val="28"/>
        </w:rPr>
      </w:pPr>
      <w:r>
        <w:rPr>
          <w:rFonts w:hint="eastAsia" w:ascii="黑体" w:hAnsi="黑体" w:eastAsia="黑体"/>
          <w:b/>
          <w:bCs/>
          <w:sz w:val="28"/>
          <w:szCs w:val="28"/>
        </w:rPr>
        <w:t>制定标准的依据和理由</w:t>
      </w:r>
    </w:p>
    <w:p w14:paraId="18C2AA64">
      <w:pPr>
        <w:pStyle w:val="15"/>
        <w:spacing w:line="360" w:lineRule="auto"/>
        <w:ind w:firstLine="480"/>
        <w:rPr>
          <w:rFonts w:hAnsi="宋体" w:cstheme="minorBidi"/>
          <w:kern w:val="2"/>
          <w:sz w:val="24"/>
          <w:szCs w:val="24"/>
        </w:rPr>
      </w:pPr>
      <w:r>
        <w:rPr>
          <w:rFonts w:hint="eastAsia" w:hAnsi="宋体" w:cstheme="minorBidi"/>
          <w:kern w:val="2"/>
          <w:sz w:val="24"/>
          <w:szCs w:val="24"/>
        </w:rPr>
        <w:t>本文件在起草过程中主要按 GB/T 1.1-2020《标准化工作导则 第 1 部分：标准化文件的结构和起草规则》的规定起草。在确定本文件主要技术指标时，综合考虑生产企业的能力和用户的利益，寻求最大的经济、社会效益，充分体现了标准在技术上的先进性和合理性。</w:t>
      </w:r>
    </w:p>
    <w:p w14:paraId="7F0F79F8">
      <w:pPr>
        <w:pStyle w:val="28"/>
        <w:numPr>
          <w:ilvl w:val="0"/>
          <w:numId w:val="8"/>
        </w:numPr>
        <w:spacing w:line="360" w:lineRule="auto"/>
        <w:ind w:firstLineChars="0"/>
        <w:rPr>
          <w:rFonts w:ascii="黑体" w:hAnsi="黑体" w:eastAsia="黑体"/>
          <w:b/>
          <w:bCs/>
          <w:sz w:val="28"/>
          <w:szCs w:val="28"/>
        </w:rPr>
      </w:pPr>
      <w:r>
        <w:rPr>
          <w:rFonts w:hint="eastAsia" w:ascii="黑体" w:hAnsi="黑体" w:eastAsia="黑体"/>
          <w:b/>
          <w:bCs/>
          <w:sz w:val="28"/>
          <w:szCs w:val="28"/>
        </w:rPr>
        <w:t>制定标准的原则</w:t>
      </w:r>
    </w:p>
    <w:p w14:paraId="05FADFCD">
      <w:pPr>
        <w:spacing w:line="360" w:lineRule="auto"/>
        <w:ind w:firstLine="480" w:firstLineChars="200"/>
        <w:rPr>
          <w:rFonts w:ascii="宋体" w:hAnsi="宋体" w:eastAsia="宋体"/>
          <w:sz w:val="24"/>
          <w:szCs w:val="24"/>
        </w:rPr>
      </w:pPr>
      <w:r>
        <w:rPr>
          <w:rFonts w:hint="eastAsia" w:ascii="宋体" w:hAnsi="宋体" w:eastAsia="宋体"/>
          <w:sz w:val="24"/>
          <w:szCs w:val="24"/>
        </w:rPr>
        <w:t>本</w:t>
      </w:r>
      <w:r>
        <w:rPr>
          <w:rFonts w:hint="eastAsia"/>
          <w:spacing w:val="-2"/>
          <w:sz w:val="24"/>
          <w:szCs w:val="24"/>
        </w:rPr>
        <w:t>标准在制定过程中，遵循“面向市场、服务产业、自主制定、适时推出、及时修订、不断完善”的原则，注重标准修订与技术创新、试验验证、产业推进、应用推广相结合，本着先进性、科学性、合理性和可操作性以及标准的目标、统一性、协调性、适用性、一致性和规范性的原则来进行本标准的制定工作。</w:t>
      </w:r>
    </w:p>
    <w:p w14:paraId="43D10703">
      <w:pPr>
        <w:pStyle w:val="28"/>
        <w:numPr>
          <w:ilvl w:val="0"/>
          <w:numId w:val="6"/>
        </w:numPr>
        <w:spacing w:line="360" w:lineRule="auto"/>
        <w:ind w:firstLineChars="0"/>
        <w:rPr>
          <w:rFonts w:hint="eastAsia" w:ascii="黑体" w:hAnsi="黑体" w:eastAsia="黑体"/>
          <w:b/>
          <w:bCs/>
          <w:sz w:val="28"/>
          <w:szCs w:val="28"/>
        </w:rPr>
      </w:pPr>
      <w:r>
        <w:rPr>
          <w:rFonts w:hint="eastAsia" w:ascii="黑体" w:hAnsi="黑体" w:eastAsia="黑体"/>
          <w:b/>
          <w:bCs/>
          <w:sz w:val="28"/>
          <w:szCs w:val="28"/>
        </w:rPr>
        <w:t>确定标准主要内容</w:t>
      </w:r>
    </w:p>
    <w:p w14:paraId="05FF4755">
      <w:pPr>
        <w:pStyle w:val="28"/>
        <w:numPr>
          <w:ilvl w:val="0"/>
          <w:numId w:val="9"/>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rPr>
        <w:t xml:space="preserve">范围及目标 </w:t>
      </w:r>
    </w:p>
    <w:p w14:paraId="2C3F460B">
      <w:pPr>
        <w:pStyle w:val="5"/>
        <w:wordWrap w:val="0"/>
        <w:topLinePunct/>
        <w:autoSpaceDE/>
        <w:autoSpaceDN/>
        <w:spacing w:before="0" w:beforeLines="0" w:afterLines="0" w:line="360" w:lineRule="auto"/>
        <w:ind w:left="0" w:firstLineChars="200"/>
        <w:jc w:val="both"/>
        <w:rPr>
          <w:rFonts w:hint="eastAsia" w:ascii="宋体" w:hAnsi="宋体" w:cs="宋体"/>
          <w:sz w:val="24"/>
          <w:szCs w:val="24"/>
        </w:rPr>
      </w:pPr>
      <w:r>
        <w:rPr>
          <w:rFonts w:hint="eastAsia" w:ascii="宋体" w:hAnsi="宋体" w:cs="宋体"/>
          <w:sz w:val="24"/>
          <w:szCs w:val="24"/>
        </w:rPr>
        <w:t>本标准规定了矿用高强度圆环链相关术语定义、制造工艺（下料、</w:t>
      </w:r>
      <w:r>
        <w:rPr>
          <w:rFonts w:hint="eastAsia" w:ascii="宋体" w:hAnsi="宋体" w:cs="宋体"/>
          <w:sz w:val="24"/>
          <w:szCs w:val="24"/>
          <w:lang w:val="en-US" w:eastAsia="zh-CN"/>
        </w:rPr>
        <w:t>除锈、加热、</w:t>
      </w:r>
      <w:r>
        <w:rPr>
          <w:rFonts w:hint="eastAsia" w:ascii="宋体" w:hAnsi="宋体" w:cs="宋体"/>
          <w:sz w:val="24"/>
          <w:szCs w:val="24"/>
        </w:rPr>
        <w:t>编链、焊接、去刺、热处理、</w:t>
      </w:r>
      <w:r>
        <w:rPr>
          <w:rFonts w:hint="eastAsia" w:ascii="宋体" w:hAnsi="宋体" w:cs="宋体"/>
          <w:sz w:val="24"/>
          <w:szCs w:val="24"/>
          <w:lang w:val="en-US" w:eastAsia="zh-CN"/>
        </w:rPr>
        <w:t>预</w:t>
      </w:r>
      <w:r>
        <w:rPr>
          <w:rFonts w:hint="eastAsia" w:ascii="宋体" w:hAnsi="宋体" w:cs="宋体"/>
          <w:sz w:val="24"/>
          <w:szCs w:val="24"/>
        </w:rPr>
        <w:t>拉伸、测配</w:t>
      </w:r>
      <w:r>
        <w:rPr>
          <w:rFonts w:hint="eastAsia" w:ascii="宋体" w:hAnsi="宋体" w:cs="宋体"/>
          <w:sz w:val="24"/>
          <w:szCs w:val="24"/>
          <w:lang w:eastAsia="zh-CN"/>
        </w:rPr>
        <w:t>、</w:t>
      </w:r>
      <w:r>
        <w:rPr>
          <w:rFonts w:hint="eastAsia" w:ascii="宋体" w:hAnsi="宋体" w:cs="宋体"/>
          <w:sz w:val="24"/>
          <w:szCs w:val="24"/>
          <w:lang w:val="en-US" w:eastAsia="zh-CN"/>
        </w:rPr>
        <w:t>防锈处理</w:t>
      </w:r>
      <w:r>
        <w:rPr>
          <w:rFonts w:hint="eastAsia" w:ascii="宋体" w:hAnsi="宋体" w:cs="宋体"/>
          <w:sz w:val="24"/>
          <w:szCs w:val="24"/>
        </w:rPr>
        <w:t>等）、技术要求、检验检测要求等。</w:t>
      </w:r>
    </w:p>
    <w:p w14:paraId="6E395EBE">
      <w:pPr>
        <w:pStyle w:val="5"/>
        <w:wordWrap w:val="0"/>
        <w:topLinePunct/>
        <w:autoSpaceDE/>
        <w:autoSpaceDN/>
        <w:spacing w:before="0" w:beforeLines="0" w:afterLines="0" w:line="360" w:lineRule="auto"/>
        <w:ind w:left="0" w:firstLineChars="200"/>
        <w:jc w:val="both"/>
        <w:rPr>
          <w:rFonts w:hint="eastAsia" w:ascii="宋体" w:hAnsi="宋体" w:cs="宋体"/>
          <w:sz w:val="24"/>
          <w:szCs w:val="24"/>
        </w:rPr>
      </w:pPr>
      <w:r>
        <w:rPr>
          <w:rFonts w:hint="eastAsia" w:ascii="宋体" w:hAnsi="宋体" w:cs="宋体"/>
          <w:sz w:val="24"/>
          <w:szCs w:val="24"/>
        </w:rPr>
        <w:t>本标准适用于矿用高强度圆环链热编热焊全过程工艺规范及质量检测。</w:t>
      </w:r>
    </w:p>
    <w:p w14:paraId="5BFB950B">
      <w:pPr>
        <w:pStyle w:val="28"/>
        <w:numPr>
          <w:ilvl w:val="0"/>
          <w:numId w:val="9"/>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rPr>
        <w:t xml:space="preserve">主要内容 </w:t>
      </w:r>
    </w:p>
    <w:p w14:paraId="736DC8B7">
      <w:pPr>
        <w:pStyle w:val="5"/>
        <w:wordWrap w:val="0"/>
        <w:topLinePunct/>
        <w:autoSpaceDE/>
        <w:autoSpaceDN/>
        <w:spacing w:before="0" w:beforeLines="0" w:afterLines="0" w:line="360" w:lineRule="auto"/>
        <w:ind w:left="0" w:firstLine="472" w:firstLineChars="200"/>
        <w:jc w:val="both"/>
        <w:rPr>
          <w:rFonts w:hint="eastAsia"/>
          <w:color w:val="auto"/>
          <w:spacing w:val="-2"/>
          <w:sz w:val="24"/>
          <w:szCs w:val="24"/>
        </w:rPr>
      </w:pPr>
      <w:r>
        <w:rPr>
          <w:rFonts w:hint="eastAsia"/>
          <w:color w:val="auto"/>
          <w:spacing w:val="-2"/>
          <w:sz w:val="24"/>
          <w:szCs w:val="24"/>
        </w:rPr>
        <w:t>（1）第4章制造准备：</w:t>
      </w:r>
      <w:r>
        <w:rPr>
          <w:rFonts w:ascii="宋体" w:hAnsi="宋体" w:eastAsia="宋体" w:cs="宋体"/>
          <w:color w:val="auto"/>
          <w:sz w:val="24"/>
          <w:szCs w:val="24"/>
        </w:rPr>
        <w:t>从人员、</w:t>
      </w:r>
      <w:r>
        <w:rPr>
          <w:rFonts w:hint="eastAsia" w:ascii="宋体" w:hAnsi="宋体" w:eastAsia="宋体" w:cs="宋体"/>
          <w:color w:val="auto"/>
          <w:sz w:val="24"/>
          <w:szCs w:val="24"/>
        </w:rPr>
        <w:t>设备及工装</w:t>
      </w:r>
      <w:r>
        <w:rPr>
          <w:rFonts w:ascii="宋体" w:hAnsi="宋体" w:eastAsia="宋体" w:cs="宋体"/>
          <w:color w:val="auto"/>
          <w:sz w:val="24"/>
          <w:szCs w:val="24"/>
        </w:rPr>
        <w:t>、</w:t>
      </w:r>
      <w:r>
        <w:rPr>
          <w:rFonts w:hint="eastAsia" w:eastAsia="宋体" w:cs="宋体"/>
          <w:color w:val="auto"/>
          <w:sz w:val="24"/>
          <w:szCs w:val="24"/>
          <w:lang w:val="en-US" w:eastAsia="zh-CN"/>
        </w:rPr>
        <w:t>原材料、工作场地及环境、安全注意事项五</w:t>
      </w:r>
      <w:r>
        <w:rPr>
          <w:rFonts w:ascii="宋体" w:hAnsi="宋体" w:eastAsia="宋体" w:cs="宋体"/>
          <w:color w:val="auto"/>
          <w:sz w:val="24"/>
          <w:szCs w:val="24"/>
        </w:rPr>
        <w:t>个方面提出生产前要求，关键工序操作人员须持证上岗并穿戴防护用品，原材料需符合相关标准并经入厂检验合格，设备仪表定期检定、工装磨损及时更换，同时采取防触电、防烫伤、防火等安全措施</w:t>
      </w:r>
      <w:r>
        <w:rPr>
          <w:rFonts w:hint="eastAsia" w:eastAsia="宋体" w:cs="宋体"/>
          <w:color w:val="auto"/>
          <w:sz w:val="24"/>
          <w:szCs w:val="24"/>
          <w:lang w:val="en-US" w:eastAsia="zh-CN"/>
        </w:rPr>
        <w:t>等</w:t>
      </w:r>
      <w:r>
        <w:rPr>
          <w:rFonts w:hint="eastAsia"/>
          <w:color w:val="auto"/>
          <w:spacing w:val="-2"/>
          <w:sz w:val="24"/>
          <w:szCs w:val="24"/>
        </w:rPr>
        <w:t>。</w:t>
      </w:r>
    </w:p>
    <w:p w14:paraId="3F4777E4">
      <w:pPr>
        <w:pStyle w:val="5"/>
        <w:wordWrap w:val="0"/>
        <w:topLinePunct/>
        <w:autoSpaceDE/>
        <w:autoSpaceDN/>
        <w:spacing w:before="0" w:beforeLines="0" w:afterLines="0" w:line="360" w:lineRule="auto"/>
        <w:ind w:left="0" w:firstLine="472" w:firstLineChars="200"/>
        <w:jc w:val="both"/>
        <w:rPr>
          <w:rFonts w:hint="eastAsia"/>
          <w:color w:val="auto"/>
          <w:spacing w:val="-2"/>
          <w:sz w:val="24"/>
          <w:szCs w:val="24"/>
        </w:rPr>
      </w:pPr>
      <w:r>
        <w:rPr>
          <w:rFonts w:hint="eastAsia"/>
          <w:color w:val="auto"/>
          <w:spacing w:val="-2"/>
          <w:sz w:val="24"/>
          <w:szCs w:val="24"/>
        </w:rPr>
        <w:t>（</w:t>
      </w:r>
      <w:r>
        <w:rPr>
          <w:rFonts w:hint="eastAsia"/>
          <w:color w:val="auto"/>
          <w:spacing w:val="-2"/>
          <w:sz w:val="24"/>
          <w:szCs w:val="24"/>
          <w:lang w:val="en-US" w:eastAsia="zh-CN"/>
        </w:rPr>
        <w:t>2</w:t>
      </w:r>
      <w:r>
        <w:rPr>
          <w:rFonts w:hint="eastAsia"/>
          <w:color w:val="auto"/>
          <w:spacing w:val="-2"/>
          <w:sz w:val="24"/>
          <w:szCs w:val="24"/>
        </w:rPr>
        <w:t>）第</w:t>
      </w:r>
      <w:r>
        <w:rPr>
          <w:rFonts w:hint="eastAsia"/>
          <w:color w:val="auto"/>
          <w:spacing w:val="-2"/>
          <w:sz w:val="24"/>
          <w:szCs w:val="24"/>
          <w:lang w:val="en-US" w:eastAsia="zh-CN"/>
        </w:rPr>
        <w:t>5</w:t>
      </w:r>
      <w:r>
        <w:rPr>
          <w:rFonts w:hint="eastAsia"/>
          <w:color w:val="auto"/>
          <w:spacing w:val="-2"/>
          <w:sz w:val="24"/>
          <w:szCs w:val="24"/>
        </w:rPr>
        <w:t>章制造工艺技术要求：</w:t>
      </w:r>
      <w:r>
        <w:rPr>
          <w:rFonts w:ascii="宋体" w:hAnsi="宋体" w:eastAsia="宋体" w:cs="宋体"/>
          <w:color w:val="auto"/>
          <w:sz w:val="24"/>
          <w:szCs w:val="24"/>
        </w:rPr>
        <w:t>明确了热编热焊完整流程（</w:t>
      </w:r>
      <w:r>
        <w:rPr>
          <w:rFonts w:hint="eastAsia" w:ascii="宋体" w:hAnsi="宋体" w:eastAsia="宋体" w:cs="宋体"/>
          <w:color w:val="auto"/>
          <w:sz w:val="24"/>
          <w:szCs w:val="24"/>
        </w:rPr>
        <w:t>下料→除锈→加热→编链→焊接→去刺→热处理→预拉伸→测配→防锈处理→检验入库</w:t>
      </w:r>
      <w:r>
        <w:rPr>
          <w:rFonts w:ascii="宋体" w:hAnsi="宋体" w:eastAsia="宋体" w:cs="宋体"/>
          <w:color w:val="auto"/>
          <w:sz w:val="24"/>
          <w:szCs w:val="24"/>
        </w:rPr>
        <w:t>），规定了各工序关键参数</w:t>
      </w:r>
      <w:r>
        <w:rPr>
          <w:rFonts w:hint="eastAsia" w:ascii="宋体" w:hAnsi="宋体" w:eastAsia="宋体" w:cs="宋体"/>
          <w:color w:val="auto"/>
          <w:sz w:val="24"/>
          <w:szCs w:val="24"/>
          <w:lang w:eastAsia="zh-CN"/>
        </w:rPr>
        <w:t>、</w:t>
      </w:r>
      <w:r>
        <w:rPr>
          <w:rFonts w:hint="eastAsia"/>
          <w:color w:val="auto"/>
          <w:spacing w:val="-2"/>
          <w:sz w:val="24"/>
          <w:szCs w:val="24"/>
        </w:rPr>
        <w:t>控制技术要求</w:t>
      </w:r>
      <w:r>
        <w:rPr>
          <w:rFonts w:ascii="宋体" w:hAnsi="宋体" w:eastAsia="宋体" w:cs="宋体"/>
          <w:color w:val="auto"/>
          <w:sz w:val="24"/>
          <w:szCs w:val="24"/>
        </w:rPr>
        <w:t>等。</w:t>
      </w:r>
    </w:p>
    <w:p w14:paraId="15EB9932">
      <w:pPr>
        <w:pStyle w:val="5"/>
        <w:wordWrap w:val="0"/>
        <w:topLinePunct/>
        <w:autoSpaceDE/>
        <w:autoSpaceDN/>
        <w:spacing w:before="0" w:beforeLines="0" w:afterLines="0" w:line="360" w:lineRule="auto"/>
        <w:ind w:left="0" w:firstLine="472" w:firstLineChars="200"/>
        <w:jc w:val="both"/>
        <w:rPr>
          <w:rFonts w:hint="default"/>
          <w:color w:val="auto"/>
          <w:spacing w:val="-2"/>
          <w:sz w:val="24"/>
          <w:szCs w:val="24"/>
        </w:rPr>
      </w:pPr>
      <w:r>
        <w:rPr>
          <w:rFonts w:hint="eastAsia"/>
          <w:color w:val="auto"/>
          <w:spacing w:val="-2"/>
          <w:sz w:val="24"/>
          <w:szCs w:val="24"/>
        </w:rPr>
        <w:t>（</w:t>
      </w:r>
      <w:r>
        <w:rPr>
          <w:rFonts w:hint="eastAsia"/>
          <w:color w:val="auto"/>
          <w:spacing w:val="-2"/>
          <w:sz w:val="24"/>
          <w:szCs w:val="24"/>
          <w:lang w:val="en-US" w:eastAsia="zh-CN"/>
        </w:rPr>
        <w:t>3</w:t>
      </w:r>
      <w:r>
        <w:rPr>
          <w:rFonts w:hint="eastAsia"/>
          <w:color w:val="auto"/>
          <w:spacing w:val="-2"/>
          <w:sz w:val="24"/>
          <w:szCs w:val="24"/>
        </w:rPr>
        <w:t>）第</w:t>
      </w:r>
      <w:r>
        <w:rPr>
          <w:rFonts w:hint="eastAsia"/>
          <w:color w:val="auto"/>
          <w:spacing w:val="-2"/>
          <w:sz w:val="24"/>
          <w:szCs w:val="24"/>
          <w:lang w:val="en-US" w:eastAsia="zh-CN"/>
        </w:rPr>
        <w:t>6</w:t>
      </w:r>
      <w:r>
        <w:rPr>
          <w:rFonts w:hint="eastAsia"/>
          <w:color w:val="auto"/>
          <w:spacing w:val="-2"/>
          <w:sz w:val="24"/>
          <w:szCs w:val="24"/>
        </w:rPr>
        <w:t>章检验检测要求：规定了外观</w:t>
      </w:r>
      <w:r>
        <w:rPr>
          <w:rFonts w:hint="eastAsia"/>
          <w:color w:val="auto"/>
          <w:spacing w:val="-2"/>
          <w:sz w:val="24"/>
          <w:szCs w:val="24"/>
          <w:lang w:val="en-US" w:eastAsia="zh-CN"/>
        </w:rPr>
        <w:t>检验</w:t>
      </w:r>
      <w:r>
        <w:rPr>
          <w:rFonts w:hint="eastAsia"/>
          <w:color w:val="auto"/>
          <w:spacing w:val="-2"/>
          <w:sz w:val="24"/>
          <w:szCs w:val="24"/>
        </w:rPr>
        <w:t>、尺寸</w:t>
      </w:r>
      <w:r>
        <w:rPr>
          <w:rFonts w:hint="eastAsia"/>
          <w:color w:val="auto"/>
          <w:spacing w:val="-2"/>
          <w:sz w:val="24"/>
          <w:szCs w:val="24"/>
          <w:lang w:val="en-US" w:eastAsia="zh-CN"/>
        </w:rPr>
        <w:t>检测</w:t>
      </w:r>
      <w:r>
        <w:rPr>
          <w:rFonts w:hint="eastAsia"/>
          <w:color w:val="auto"/>
          <w:spacing w:val="-2"/>
          <w:sz w:val="24"/>
          <w:szCs w:val="24"/>
        </w:rPr>
        <w:t>、</w:t>
      </w:r>
      <w:r>
        <w:rPr>
          <w:rFonts w:hint="eastAsia"/>
          <w:color w:val="auto"/>
          <w:spacing w:val="-2"/>
          <w:sz w:val="24"/>
          <w:szCs w:val="24"/>
          <w:lang w:val="en-US" w:eastAsia="zh-CN"/>
        </w:rPr>
        <w:t>机械</w:t>
      </w:r>
      <w:r>
        <w:rPr>
          <w:rFonts w:hint="eastAsia"/>
          <w:color w:val="auto"/>
          <w:spacing w:val="-2"/>
          <w:sz w:val="24"/>
          <w:szCs w:val="24"/>
        </w:rPr>
        <w:t>性能</w:t>
      </w:r>
      <w:r>
        <w:rPr>
          <w:rFonts w:hint="eastAsia"/>
          <w:color w:val="auto"/>
          <w:spacing w:val="-2"/>
          <w:sz w:val="24"/>
          <w:szCs w:val="24"/>
          <w:lang w:val="en-US" w:eastAsia="zh-CN"/>
        </w:rPr>
        <w:t>检验</w:t>
      </w:r>
      <w:r>
        <w:rPr>
          <w:rFonts w:hint="eastAsia"/>
          <w:color w:val="auto"/>
          <w:spacing w:val="-2"/>
          <w:sz w:val="24"/>
          <w:szCs w:val="24"/>
        </w:rPr>
        <w:t>、无损检测</w:t>
      </w:r>
      <w:r>
        <w:rPr>
          <w:rFonts w:hint="eastAsia"/>
          <w:color w:val="auto"/>
          <w:spacing w:val="-2"/>
          <w:sz w:val="24"/>
          <w:szCs w:val="24"/>
          <w:lang w:eastAsia="zh-CN"/>
        </w:rPr>
        <w:t>（</w:t>
      </w:r>
      <w:r>
        <w:rPr>
          <w:rFonts w:hint="eastAsia"/>
          <w:color w:val="auto"/>
          <w:spacing w:val="-2"/>
          <w:sz w:val="24"/>
          <w:szCs w:val="24"/>
          <w:lang w:val="en-US" w:eastAsia="zh-CN"/>
        </w:rPr>
        <w:t>必要时</w:t>
      </w:r>
      <w:r>
        <w:rPr>
          <w:rFonts w:hint="eastAsia"/>
          <w:color w:val="auto"/>
          <w:spacing w:val="-2"/>
          <w:sz w:val="24"/>
          <w:szCs w:val="24"/>
          <w:lang w:eastAsia="zh-CN"/>
        </w:rPr>
        <w:t>）</w:t>
      </w:r>
      <w:r>
        <w:rPr>
          <w:rFonts w:hint="eastAsia"/>
          <w:color w:val="auto"/>
          <w:spacing w:val="-2"/>
          <w:sz w:val="24"/>
          <w:szCs w:val="24"/>
        </w:rPr>
        <w:t>要求，要求链环表面无缺陷、尺寸公差符合标准，每批次进行</w:t>
      </w:r>
      <w:r>
        <w:rPr>
          <w:rFonts w:hint="eastAsia"/>
          <w:color w:val="auto"/>
          <w:spacing w:val="-2"/>
          <w:sz w:val="24"/>
          <w:szCs w:val="24"/>
          <w:lang w:val="en-US" w:eastAsia="zh-CN"/>
        </w:rPr>
        <w:t>相应的</w:t>
      </w:r>
      <w:r>
        <w:rPr>
          <w:rFonts w:hint="eastAsia"/>
          <w:color w:val="auto"/>
          <w:spacing w:val="-2"/>
          <w:sz w:val="24"/>
          <w:szCs w:val="24"/>
        </w:rPr>
        <w:t>试验</w:t>
      </w:r>
      <w:r>
        <w:rPr>
          <w:rFonts w:hint="eastAsia"/>
          <w:color w:val="auto"/>
          <w:spacing w:val="-2"/>
          <w:sz w:val="24"/>
          <w:szCs w:val="24"/>
          <w:lang w:val="en-US" w:eastAsia="zh-CN"/>
        </w:rPr>
        <w:t>检验检测</w:t>
      </w:r>
      <w:r>
        <w:rPr>
          <w:rFonts w:hint="eastAsia"/>
          <w:color w:val="auto"/>
          <w:spacing w:val="-2"/>
          <w:sz w:val="24"/>
          <w:szCs w:val="24"/>
        </w:rPr>
        <w:t>。</w:t>
      </w:r>
    </w:p>
    <w:p w14:paraId="5E975A4E">
      <w:pPr>
        <w:pStyle w:val="28"/>
        <w:numPr>
          <w:ilvl w:val="0"/>
          <w:numId w:val="9"/>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lang w:val="en-US" w:eastAsia="zh-CN"/>
        </w:rPr>
        <w:t xml:space="preserve">解决的主要问题 </w:t>
      </w:r>
    </w:p>
    <w:p w14:paraId="0CFD033C">
      <w:pPr>
        <w:pStyle w:val="5"/>
        <w:wordWrap w:val="0"/>
        <w:topLinePunct/>
        <w:autoSpaceDE/>
        <w:autoSpaceDN/>
        <w:spacing w:before="0" w:beforeLines="0" w:afterLines="0" w:line="360" w:lineRule="auto"/>
        <w:ind w:left="0" w:firstLineChars="200"/>
        <w:jc w:val="both"/>
        <w:rPr>
          <w:rFonts w:hint="eastAsia" w:cs="宋体"/>
          <w:sz w:val="24"/>
          <w:szCs w:val="24"/>
        </w:rPr>
      </w:pPr>
      <w:r>
        <w:rPr>
          <w:rFonts w:hint="eastAsia" w:cs="宋体"/>
          <w:sz w:val="24"/>
          <w:szCs w:val="24"/>
        </w:rPr>
        <w:t>目前，国内外虽有关于矿用圆环链的原材料、产品性能、检验方法等标准（如GB/T 12718、MT/T 522等），但覆盖下料、编链、焊接、热处理、拉伸、测配等全流程的制造工艺规范尚属空白。不同企业甚至同一企业不同批次的产品因工艺参数不一，导致链环强度分散、焊接缺陷控制不足、热处理变形与残余应力难以控制、疲劳寿命不一致等问题。</w:t>
      </w:r>
    </w:p>
    <w:p w14:paraId="50A52EB4">
      <w:pPr>
        <w:pStyle w:val="5"/>
        <w:wordWrap w:val="0"/>
        <w:topLinePunct/>
        <w:autoSpaceDE/>
        <w:autoSpaceDN/>
        <w:spacing w:before="0" w:beforeLines="0" w:afterLines="0" w:line="360" w:lineRule="auto"/>
        <w:ind w:left="0" w:firstLineChars="200"/>
        <w:jc w:val="both"/>
        <w:rPr>
          <w:rFonts w:hint="eastAsia" w:cs="宋体"/>
          <w:sz w:val="24"/>
          <w:szCs w:val="24"/>
        </w:rPr>
      </w:pPr>
      <w:r>
        <w:rPr>
          <w:rFonts w:hint="eastAsia" w:cs="宋体"/>
          <w:sz w:val="24"/>
          <w:szCs w:val="24"/>
        </w:rPr>
        <w:t>由于缺乏系统工艺控制，部分企业为降低成本可能简化工艺（如缩短热处理时间、省略预拉伸等），导致产品虽表面“合格”，但实际耐久性不足，存在安全隐患。本标准通过建立科学、可重复的工艺规范（如热编热焊全流程、热处理工艺、预拉伸工艺等），提升产品的一致性与可靠性，减少返工与废品，从根本上保障链条的极限质量与安全冗余度。</w:t>
      </w:r>
    </w:p>
    <w:p w14:paraId="355E7A47">
      <w:pPr>
        <w:pStyle w:val="5"/>
        <w:wordWrap w:val="0"/>
        <w:topLinePunct/>
        <w:autoSpaceDE/>
        <w:autoSpaceDN/>
        <w:spacing w:before="0" w:beforeLines="0" w:afterLines="0" w:line="360" w:lineRule="auto"/>
        <w:ind w:left="0" w:firstLineChars="200"/>
        <w:jc w:val="both"/>
        <w:rPr>
          <w:rFonts w:hint="eastAsia" w:ascii="黑体" w:hAnsi="黑体" w:eastAsia="黑体"/>
          <w:b/>
          <w:bCs/>
          <w:sz w:val="28"/>
          <w:szCs w:val="28"/>
        </w:rPr>
      </w:pPr>
      <w:r>
        <w:rPr>
          <w:rFonts w:hint="eastAsia" w:cs="宋体"/>
          <w:sz w:val="24"/>
          <w:szCs w:val="24"/>
        </w:rPr>
        <w:t>在没有严格工艺标准约束的情况下，市场易出现低价低质竞争，合规企业生存空间受挤压。同时，上下游企业间因工艺标准不统一，技术交流与供应链协同存在障碍。本标准为质量监督、产品认证提供了“过程保证”的技术依据，与现有产品标准（“结果检验”）形成互补，有助于淘汰落后工艺，引导行业从“价格竞争”转向“质量与可靠性竞争”，并促进技术交流与产业链协同。</w:t>
      </w:r>
    </w:p>
    <w:p w14:paraId="582778AE">
      <w:pPr>
        <w:pStyle w:val="28"/>
        <w:numPr>
          <w:ilvl w:val="0"/>
          <w:numId w:val="6"/>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rPr>
        <w:t xml:space="preserve">试验验证 </w:t>
      </w:r>
    </w:p>
    <w:p w14:paraId="16F047B0">
      <w:pPr>
        <w:pStyle w:val="5"/>
        <w:wordWrap w:val="0"/>
        <w:topLinePunct/>
        <w:autoSpaceDE/>
        <w:autoSpaceDN/>
        <w:spacing w:before="0" w:beforeLines="0" w:afterLines="0" w:line="360" w:lineRule="auto"/>
        <w:ind w:left="0" w:firstLineChars="200"/>
        <w:jc w:val="both"/>
        <w:rPr>
          <w:rFonts w:hint="eastAsia" w:cs="宋体" w:eastAsiaTheme="minorEastAsia"/>
          <w:sz w:val="24"/>
          <w:szCs w:val="24"/>
          <w:lang w:eastAsia="zh-CN"/>
        </w:rPr>
      </w:pPr>
      <w:r>
        <w:rPr>
          <w:rFonts w:hint="eastAsia" w:cs="宋体"/>
          <w:sz w:val="24"/>
          <w:szCs w:val="24"/>
        </w:rPr>
        <w:t>本文件第 4～</w:t>
      </w:r>
      <w:r>
        <w:rPr>
          <w:rFonts w:hint="eastAsia" w:cs="宋体"/>
          <w:sz w:val="24"/>
          <w:szCs w:val="24"/>
          <w:lang w:val="en-US" w:eastAsia="zh-CN"/>
        </w:rPr>
        <w:t>6</w:t>
      </w:r>
      <w:r>
        <w:rPr>
          <w:rFonts w:hint="eastAsia" w:cs="宋体"/>
          <w:sz w:val="24"/>
          <w:szCs w:val="24"/>
        </w:rPr>
        <w:t xml:space="preserve"> 章的技术要求已在宁夏天地奔牛链条有限公司矿用高强度圆环链</w:t>
      </w:r>
      <w:r>
        <w:rPr>
          <w:rFonts w:hint="eastAsia" w:cs="宋体"/>
          <w:sz w:val="24"/>
          <w:szCs w:val="24"/>
          <w:lang w:val="en-US" w:eastAsia="zh-CN"/>
        </w:rPr>
        <w:t>热编热焊</w:t>
      </w:r>
      <w:r>
        <w:rPr>
          <w:rFonts w:hint="eastAsia" w:cs="宋体"/>
          <w:sz w:val="24"/>
          <w:szCs w:val="24"/>
        </w:rPr>
        <w:t>制造应用多年，并在参与单位进一步应用验证，通过验证证明，本文件提出的技术要求科学合理，可操作性较强，切实可行。能够指导生产企业使用热编热焊技术对矿用高强度圆环链</w:t>
      </w:r>
      <w:r>
        <w:rPr>
          <w:rFonts w:hint="eastAsia" w:cs="宋体"/>
          <w:sz w:val="24"/>
          <w:szCs w:val="24"/>
          <w:lang w:val="en-US" w:eastAsia="zh-CN"/>
        </w:rPr>
        <w:t>制造</w:t>
      </w:r>
      <w:r>
        <w:rPr>
          <w:rFonts w:hint="eastAsia" w:cs="宋体"/>
          <w:sz w:val="24"/>
          <w:szCs w:val="24"/>
          <w:lang w:eastAsia="zh-CN"/>
        </w:rPr>
        <w:t>。</w:t>
      </w:r>
    </w:p>
    <w:p w14:paraId="442E1CC7">
      <w:pPr>
        <w:pStyle w:val="28"/>
        <w:numPr>
          <w:ilvl w:val="0"/>
          <w:numId w:val="6"/>
        </w:numPr>
        <w:spacing w:line="360" w:lineRule="auto"/>
        <w:ind w:firstLineChars="0"/>
        <w:rPr>
          <w:rFonts w:hint="eastAsia" w:ascii="黑体" w:hAnsi="黑体" w:eastAsia="黑体"/>
          <w:b/>
          <w:bCs/>
          <w:sz w:val="28"/>
          <w:szCs w:val="28"/>
        </w:rPr>
      </w:pPr>
      <w:r>
        <w:rPr>
          <w:rFonts w:hint="eastAsia" w:ascii="黑体" w:hAnsi="黑体" w:eastAsia="黑体"/>
          <w:b/>
          <w:bCs/>
          <w:sz w:val="28"/>
          <w:szCs w:val="28"/>
        </w:rPr>
        <w:t>知识产权说明</w:t>
      </w:r>
    </w:p>
    <w:p w14:paraId="6EA77665">
      <w:pPr>
        <w:pStyle w:val="5"/>
        <w:wordWrap w:val="0"/>
        <w:topLinePunct/>
        <w:autoSpaceDE/>
        <w:autoSpaceDN/>
        <w:spacing w:before="0" w:beforeLines="0" w:afterLines="0" w:line="360" w:lineRule="auto"/>
        <w:ind w:left="0" w:firstLineChars="200"/>
        <w:jc w:val="both"/>
        <w:rPr>
          <w:rFonts w:hint="eastAsia" w:cs="宋体"/>
          <w:sz w:val="24"/>
          <w:szCs w:val="24"/>
        </w:rPr>
      </w:pPr>
      <w:r>
        <w:rPr>
          <w:rFonts w:hint="eastAsia" w:cs="宋体"/>
          <w:sz w:val="24"/>
          <w:szCs w:val="24"/>
        </w:rPr>
        <w:t>本标准编制过程未涉及到知识产权。</w:t>
      </w:r>
    </w:p>
    <w:p w14:paraId="14346D1F">
      <w:pPr>
        <w:pStyle w:val="28"/>
        <w:numPr>
          <w:ilvl w:val="0"/>
          <w:numId w:val="6"/>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rPr>
        <w:t xml:space="preserve">预期达到的社会效益，对产业发展的作用等情况 </w:t>
      </w:r>
    </w:p>
    <w:p w14:paraId="62BA29EC">
      <w:pPr>
        <w:pStyle w:val="5"/>
        <w:wordWrap w:val="0"/>
        <w:topLinePunct/>
        <w:autoSpaceDE/>
        <w:autoSpaceDN/>
        <w:spacing w:before="0" w:beforeLines="0" w:afterLines="0" w:line="360" w:lineRule="auto"/>
        <w:ind w:left="0" w:firstLineChars="200"/>
        <w:jc w:val="both"/>
        <w:rPr>
          <w:rFonts w:hint="eastAsia" w:cs="宋体"/>
          <w:sz w:val="24"/>
          <w:szCs w:val="24"/>
        </w:rPr>
      </w:pPr>
      <w:r>
        <w:rPr>
          <w:rFonts w:hint="eastAsia" w:cs="宋体"/>
          <w:sz w:val="24"/>
          <w:szCs w:val="24"/>
        </w:rPr>
        <w:t>（1）矿用高强度圆环链是刮板输送机、刨煤机、提升设备等关键装备的“脊椎”和“生命线”，其失效可能导致运输系统瘫痪、设备损坏，甚至引发停产、人员伤亡等灾难性后果。通过规范制造工艺，确保每一根出厂的高强度圆环链都具有极高的可靠性和安全冗余度。从根本上保障矿用高强度圆环链的极限质量与可靠性，从而预防因其失效可能导致的重大矿山安全事故。</w:t>
      </w:r>
    </w:p>
    <w:p w14:paraId="13B1671D">
      <w:pPr>
        <w:pStyle w:val="5"/>
        <w:wordWrap w:val="0"/>
        <w:topLinePunct/>
        <w:autoSpaceDE/>
        <w:autoSpaceDN/>
        <w:spacing w:before="0" w:beforeLines="0" w:afterLines="0" w:line="360" w:lineRule="auto"/>
        <w:ind w:left="0" w:firstLineChars="200"/>
        <w:jc w:val="both"/>
        <w:rPr>
          <w:rFonts w:hint="eastAsia" w:cs="宋体"/>
          <w:sz w:val="24"/>
          <w:szCs w:val="24"/>
        </w:rPr>
      </w:pPr>
      <w:r>
        <w:rPr>
          <w:rFonts w:hint="eastAsia" w:cs="宋体"/>
          <w:sz w:val="24"/>
          <w:szCs w:val="24"/>
        </w:rPr>
        <w:t>（2）建立公认的、统一的制造工艺质量门槛，结束因工艺参差不齐导致的“良莠不齐”局面。明确了技术攻关和质量控制的明确目标，引导企业向高标准看齐。</w:t>
      </w:r>
    </w:p>
    <w:p w14:paraId="6C7D8248">
      <w:pPr>
        <w:pStyle w:val="5"/>
        <w:wordWrap w:val="0"/>
        <w:topLinePunct/>
        <w:autoSpaceDE/>
        <w:autoSpaceDN/>
        <w:spacing w:before="0" w:beforeLines="0" w:afterLines="0" w:line="360" w:lineRule="auto"/>
        <w:ind w:left="0" w:firstLineChars="200"/>
        <w:jc w:val="both"/>
        <w:rPr>
          <w:rFonts w:hint="eastAsia" w:cs="宋体"/>
          <w:sz w:val="24"/>
          <w:szCs w:val="24"/>
        </w:rPr>
      </w:pPr>
      <w:r>
        <w:rPr>
          <w:rFonts w:hint="eastAsia" w:cs="宋体"/>
          <w:sz w:val="24"/>
          <w:szCs w:val="24"/>
        </w:rPr>
        <w:t>（3）将经过验证的、最科学有效的制造工艺进行总结、筛选与固化。为矿用高强度圆环链提供清晰的技术路线图，有效规避落后、不稳定的工艺，从整体上提升矿用高强度圆环链技术水平和工艺一致性。</w:t>
      </w:r>
    </w:p>
    <w:p w14:paraId="7650F96C">
      <w:pPr>
        <w:pStyle w:val="5"/>
        <w:wordWrap w:val="0"/>
        <w:topLinePunct/>
        <w:autoSpaceDE/>
        <w:autoSpaceDN/>
        <w:spacing w:before="0" w:beforeLines="0" w:afterLines="0" w:line="360" w:lineRule="auto"/>
        <w:ind w:left="0" w:firstLineChars="200"/>
        <w:jc w:val="both"/>
        <w:rPr>
          <w:rFonts w:hint="eastAsia" w:cs="宋体"/>
          <w:sz w:val="24"/>
          <w:szCs w:val="24"/>
        </w:rPr>
      </w:pPr>
      <w:r>
        <w:rPr>
          <w:rFonts w:hint="eastAsia" w:cs="宋体"/>
          <w:sz w:val="24"/>
          <w:szCs w:val="24"/>
        </w:rPr>
        <w:t>（4）形成工艺标准与产品性能标准（如GB/T 12178-2009等）相辅相成。工艺标准为“过程保证”，产品标准为“结果检验”。为企业生产过程的监督审核、产品质量可靠性与一致性提供关键依据。</w:t>
      </w:r>
    </w:p>
    <w:p w14:paraId="09881CEE">
      <w:pPr>
        <w:pStyle w:val="5"/>
        <w:wordWrap w:val="0"/>
        <w:topLinePunct/>
        <w:autoSpaceDE/>
        <w:autoSpaceDN/>
        <w:spacing w:before="0" w:beforeLines="0" w:afterLines="0" w:line="360" w:lineRule="auto"/>
        <w:ind w:left="0" w:firstLineChars="200"/>
        <w:jc w:val="both"/>
        <w:rPr>
          <w:rFonts w:hint="eastAsia" w:cs="宋体"/>
          <w:sz w:val="24"/>
          <w:szCs w:val="24"/>
        </w:rPr>
      </w:pPr>
      <w:r>
        <w:rPr>
          <w:rFonts w:hint="eastAsia" w:cs="宋体"/>
          <w:sz w:val="24"/>
          <w:szCs w:val="24"/>
        </w:rPr>
        <w:t>（5）促进矿用高强度圆环链技术交流与供应链协同</w:t>
      </w:r>
    </w:p>
    <w:p w14:paraId="1D63BEF7">
      <w:pPr>
        <w:pStyle w:val="5"/>
        <w:wordWrap w:val="0"/>
        <w:topLinePunct/>
        <w:autoSpaceDE/>
        <w:autoSpaceDN/>
        <w:spacing w:before="0" w:beforeLines="0" w:afterLines="0" w:line="360" w:lineRule="auto"/>
        <w:ind w:left="0" w:firstLineChars="200"/>
        <w:jc w:val="both"/>
        <w:rPr>
          <w:rFonts w:hint="eastAsia" w:cs="宋体"/>
          <w:sz w:val="24"/>
          <w:szCs w:val="24"/>
        </w:rPr>
      </w:pPr>
      <w:r>
        <w:rPr>
          <w:rFonts w:hint="eastAsia" w:cs="宋体"/>
          <w:sz w:val="24"/>
          <w:szCs w:val="24"/>
        </w:rPr>
        <w:t>统一工艺规范使得原材料供应商、设备制造商和链条制造商的协作提供共同技术术语便于技术交流，减少因工艺标准不统一产生的技术壁垒。</w:t>
      </w:r>
    </w:p>
    <w:p w14:paraId="5C386CAA">
      <w:pPr>
        <w:pStyle w:val="5"/>
        <w:wordWrap w:val="0"/>
        <w:topLinePunct/>
        <w:autoSpaceDE/>
        <w:autoSpaceDN/>
        <w:spacing w:before="0" w:beforeLines="0" w:afterLines="0" w:line="360" w:lineRule="auto"/>
        <w:ind w:left="0" w:firstLineChars="200"/>
        <w:jc w:val="both"/>
        <w:rPr>
          <w:rFonts w:hint="default" w:cs="宋体"/>
          <w:sz w:val="24"/>
          <w:szCs w:val="24"/>
        </w:rPr>
      </w:pPr>
      <w:r>
        <w:rPr>
          <w:rFonts w:hint="eastAsia" w:cs="宋体"/>
          <w:sz w:val="24"/>
          <w:szCs w:val="24"/>
        </w:rPr>
        <w:t>（6）统一各工序的技术要求与质量控制标准，填补现有标准体系在制造工艺环节的空白，提升产品质量一致性与可靠性，同时，为顺应矿用高强度圆环链发展趋势，更好地满足市场对高性能、高强度链条日益增长的需求，引导企业规范化、标准化生产，促进行业有序发展。</w:t>
      </w:r>
    </w:p>
    <w:p w14:paraId="7A559199">
      <w:pPr>
        <w:pStyle w:val="28"/>
        <w:numPr>
          <w:ilvl w:val="0"/>
          <w:numId w:val="6"/>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rPr>
        <w:t>采标情况</w:t>
      </w:r>
    </w:p>
    <w:p w14:paraId="1510AB5E">
      <w:pPr>
        <w:pStyle w:val="28"/>
        <w:numPr>
          <w:ilvl w:val="0"/>
          <w:numId w:val="10"/>
        </w:numPr>
        <w:spacing w:line="360" w:lineRule="auto"/>
        <w:ind w:firstLineChars="0"/>
        <w:rPr>
          <w:rFonts w:hint="eastAsia" w:ascii="黑体" w:hAnsi="黑体" w:eastAsia="黑体" w:cs="Times New Roman"/>
          <w:b/>
          <w:bCs/>
          <w:sz w:val="28"/>
          <w:szCs w:val="28"/>
          <w:lang w:val="en-US" w:eastAsia="zh-CN"/>
        </w:rPr>
      </w:pPr>
      <w:r>
        <w:rPr>
          <w:rFonts w:hint="eastAsia" w:ascii="黑体" w:hAnsi="黑体" w:eastAsia="黑体" w:cs="Times New Roman"/>
          <w:b/>
          <w:bCs/>
          <w:sz w:val="28"/>
          <w:szCs w:val="28"/>
          <w:lang w:val="en-US" w:eastAsia="zh-CN"/>
        </w:rPr>
        <w:t xml:space="preserve">标准化标准 </w:t>
      </w:r>
    </w:p>
    <w:p w14:paraId="2ED87063">
      <w:pPr>
        <w:pStyle w:val="5"/>
        <w:wordWrap w:val="0"/>
        <w:topLinePunct/>
        <w:autoSpaceDE/>
        <w:autoSpaceDN/>
        <w:spacing w:before="0" w:beforeLines="0" w:afterLines="0" w:line="360" w:lineRule="auto"/>
        <w:ind w:left="0" w:firstLineChars="200"/>
        <w:jc w:val="both"/>
        <w:rPr>
          <w:rFonts w:hint="default" w:cs="宋体"/>
          <w:sz w:val="24"/>
          <w:szCs w:val="24"/>
        </w:rPr>
      </w:pPr>
      <w:r>
        <w:rPr>
          <w:rFonts w:hint="eastAsia" w:cs="宋体"/>
          <w:sz w:val="24"/>
          <w:szCs w:val="24"/>
        </w:rPr>
        <w:t>本文件按照GB/T 1.1-2020《标准化工作导则 第 1 部分：标准化文件的结构和起草规则》、GB/T 20001.5-2017 《标准编写规则 第 5 部分：规范标准》起草。没有采用国际标准。本文件制定过程中未查到同类国际、国外标准。</w:t>
      </w:r>
    </w:p>
    <w:p w14:paraId="48484804">
      <w:pPr>
        <w:pStyle w:val="28"/>
        <w:numPr>
          <w:ilvl w:val="0"/>
          <w:numId w:val="10"/>
        </w:numPr>
        <w:spacing w:line="360" w:lineRule="auto"/>
        <w:ind w:firstLineChars="0"/>
        <w:rPr>
          <w:rFonts w:hint="default" w:ascii="黑体" w:hAnsi="黑体" w:eastAsia="黑体" w:cs="Times New Roman"/>
          <w:b/>
          <w:bCs/>
          <w:sz w:val="28"/>
          <w:szCs w:val="28"/>
          <w:lang w:val="en-US" w:eastAsia="zh-CN"/>
        </w:rPr>
      </w:pPr>
      <w:r>
        <w:rPr>
          <w:rFonts w:hint="eastAsia" w:ascii="黑体" w:hAnsi="黑体" w:eastAsia="黑体" w:cs="Times New Roman"/>
          <w:b/>
          <w:bCs/>
          <w:sz w:val="28"/>
          <w:szCs w:val="28"/>
          <w:lang w:val="en-US" w:eastAsia="zh-CN"/>
        </w:rPr>
        <w:t xml:space="preserve">矿用圆环链相关标准 </w:t>
      </w:r>
    </w:p>
    <w:p w14:paraId="58C1FF27">
      <w:pPr>
        <w:pStyle w:val="5"/>
        <w:wordWrap w:val="0"/>
        <w:topLinePunct/>
        <w:autoSpaceDE/>
        <w:autoSpaceDN/>
        <w:spacing w:before="0" w:beforeLines="0" w:afterLines="0" w:line="360" w:lineRule="auto"/>
        <w:ind w:left="0" w:firstLineChars="200"/>
        <w:jc w:val="both"/>
        <w:rPr>
          <w:rFonts w:hint="eastAsia" w:ascii="宋体" w:hAnsi="宋体" w:cs="宋体"/>
          <w:sz w:val="24"/>
          <w:szCs w:val="24"/>
          <w:lang w:val="en-US" w:eastAsia="zh-CN"/>
        </w:rPr>
      </w:pPr>
      <w:bookmarkStart w:id="1" w:name="_GoBack"/>
      <w:bookmarkEnd w:id="1"/>
      <w:r>
        <w:rPr>
          <w:rFonts w:hint="eastAsia" w:ascii="宋体" w:hAnsi="宋体" w:cs="宋体"/>
          <w:sz w:val="24"/>
          <w:szCs w:val="24"/>
          <w:lang w:val="en-US" w:eastAsia="zh-CN"/>
        </w:rPr>
        <w:t>GB/T 3375—1994  焊接术语</w:t>
      </w:r>
    </w:p>
    <w:p w14:paraId="2996B70D">
      <w:pPr>
        <w:pStyle w:val="5"/>
        <w:wordWrap w:val="0"/>
        <w:topLinePunct/>
        <w:autoSpaceDE/>
        <w:autoSpaceDN/>
        <w:spacing w:before="0" w:beforeLines="0" w:afterLines="0" w:line="360" w:lineRule="auto"/>
        <w:ind w:left="0" w:firstLineChars="200"/>
        <w:jc w:val="both"/>
        <w:rPr>
          <w:rFonts w:hint="eastAsia" w:ascii="宋体" w:hAnsi="宋体" w:cs="宋体"/>
          <w:sz w:val="24"/>
          <w:szCs w:val="24"/>
          <w:lang w:val="en-US" w:eastAsia="zh-CN"/>
        </w:rPr>
      </w:pPr>
      <w:r>
        <w:rPr>
          <w:rFonts w:hint="eastAsia" w:ascii="宋体" w:hAnsi="宋体" w:cs="宋体"/>
          <w:sz w:val="24"/>
          <w:szCs w:val="24"/>
          <w:lang w:val="en-US" w:eastAsia="zh-CN"/>
        </w:rPr>
        <w:t>GB 9448  焊接与切割安全</w:t>
      </w:r>
    </w:p>
    <w:p w14:paraId="7BD2A550">
      <w:pPr>
        <w:pStyle w:val="5"/>
        <w:wordWrap w:val="0"/>
        <w:topLinePunct/>
        <w:autoSpaceDE/>
        <w:autoSpaceDN/>
        <w:spacing w:before="0" w:beforeLines="0" w:afterLines="0" w:line="360" w:lineRule="auto"/>
        <w:ind w:left="0" w:firstLineChars="200"/>
        <w:jc w:val="both"/>
        <w:rPr>
          <w:rFonts w:hint="eastAsia" w:ascii="宋体" w:hAnsi="宋体" w:cs="宋体"/>
          <w:sz w:val="24"/>
          <w:szCs w:val="24"/>
          <w:lang w:val="en-US" w:eastAsia="zh-CN"/>
        </w:rPr>
      </w:pPr>
      <w:r>
        <w:rPr>
          <w:rFonts w:hint="eastAsia" w:ascii="宋体" w:hAnsi="宋体" w:cs="宋体"/>
          <w:sz w:val="24"/>
          <w:szCs w:val="24"/>
          <w:lang w:val="en-US" w:eastAsia="zh-CN"/>
        </w:rPr>
        <w:t>GB/T 10560—2017 矿用焊接圆环链用钢</w:t>
      </w:r>
    </w:p>
    <w:p w14:paraId="4C67646C">
      <w:pPr>
        <w:pStyle w:val="5"/>
        <w:wordWrap w:val="0"/>
        <w:topLinePunct/>
        <w:autoSpaceDE/>
        <w:autoSpaceDN/>
        <w:spacing w:before="0" w:beforeLines="0" w:afterLines="0" w:line="360" w:lineRule="auto"/>
        <w:ind w:left="0" w:firstLineChars="200"/>
        <w:jc w:val="both"/>
        <w:rPr>
          <w:rFonts w:hint="eastAsia" w:ascii="宋体" w:hAnsi="宋体" w:cs="宋体"/>
          <w:sz w:val="24"/>
          <w:szCs w:val="24"/>
          <w:lang w:val="en-US" w:eastAsia="zh-CN"/>
        </w:rPr>
      </w:pPr>
      <w:r>
        <w:rPr>
          <w:rFonts w:hint="eastAsia" w:ascii="宋体" w:hAnsi="宋体" w:cs="宋体"/>
          <w:sz w:val="24"/>
          <w:szCs w:val="24"/>
          <w:lang w:val="en-US" w:eastAsia="zh-CN"/>
        </w:rPr>
        <w:t>GB/T 12178—2009 矿用高强度圆环链</w:t>
      </w:r>
    </w:p>
    <w:p w14:paraId="1F55D453">
      <w:pPr>
        <w:pStyle w:val="5"/>
        <w:wordWrap w:val="0"/>
        <w:topLinePunct/>
        <w:autoSpaceDE/>
        <w:autoSpaceDN/>
        <w:spacing w:before="0" w:beforeLines="0" w:afterLines="0" w:line="360" w:lineRule="auto"/>
        <w:ind w:left="0" w:firstLineChars="200"/>
        <w:jc w:val="both"/>
        <w:rPr>
          <w:rFonts w:hint="eastAsia" w:ascii="宋体" w:hAnsi="宋体" w:cs="宋体"/>
          <w:sz w:val="24"/>
          <w:szCs w:val="24"/>
          <w:lang w:val="en-US" w:eastAsia="zh-CN"/>
        </w:rPr>
      </w:pPr>
      <w:r>
        <w:rPr>
          <w:rFonts w:hint="eastAsia" w:ascii="宋体" w:hAnsi="宋体" w:cs="宋体"/>
          <w:sz w:val="24"/>
          <w:szCs w:val="24"/>
          <w:lang w:val="en-US" w:eastAsia="zh-CN"/>
        </w:rPr>
        <w:t>MT/T 522—2004 矿用高强度圆环链检验规范</w:t>
      </w:r>
    </w:p>
    <w:p w14:paraId="1A1D3DCA">
      <w:pPr>
        <w:pStyle w:val="28"/>
        <w:numPr>
          <w:ilvl w:val="0"/>
          <w:numId w:val="6"/>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rPr>
        <w:t>重大分歧意见的处理经过和依据</w:t>
      </w:r>
    </w:p>
    <w:p w14:paraId="768B705C">
      <w:pPr>
        <w:pStyle w:val="5"/>
        <w:wordWrap w:val="0"/>
        <w:topLinePunct/>
        <w:autoSpaceDE/>
        <w:autoSpaceDN/>
        <w:spacing w:before="0" w:beforeLines="0" w:afterLines="0" w:line="360" w:lineRule="auto"/>
        <w:ind w:left="0" w:firstLineChars="200"/>
        <w:rPr>
          <w:rFonts w:hint="eastAsia"/>
          <w:sz w:val="24"/>
          <w:szCs w:val="24"/>
        </w:rPr>
      </w:pPr>
      <w:r>
        <w:rPr>
          <w:rFonts w:hint="eastAsia"/>
          <w:sz w:val="24"/>
          <w:szCs w:val="24"/>
        </w:rPr>
        <w:t>本文件制定过程中未出现重大分歧意见。</w:t>
      </w:r>
    </w:p>
    <w:p w14:paraId="42A49D17">
      <w:pPr>
        <w:pStyle w:val="28"/>
        <w:numPr>
          <w:ilvl w:val="0"/>
          <w:numId w:val="6"/>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rPr>
        <w:t xml:space="preserve">标准性质 </w:t>
      </w:r>
    </w:p>
    <w:p w14:paraId="588968C2">
      <w:pPr>
        <w:widowControl/>
        <w:spacing w:beforeLines="0" w:afterLines="0" w:line="360" w:lineRule="auto"/>
        <w:ind w:firstLine="480" w:firstLineChars="200"/>
        <w:rPr>
          <w:rFonts w:hint="eastAsia" w:ascii="宋体" w:hAnsi="宋体" w:cs="宋体"/>
          <w:sz w:val="24"/>
          <w:szCs w:val="24"/>
        </w:rPr>
      </w:pPr>
      <w:r>
        <w:rPr>
          <w:rFonts w:hint="eastAsia" w:ascii="宋体" w:hAnsi="宋体" w:cs="宋体"/>
          <w:sz w:val="24"/>
          <w:szCs w:val="24"/>
        </w:rPr>
        <w:t xml:space="preserve">本标准建议由本团体成员约定采用或按照本团体的规定供社会自愿采用。 </w:t>
      </w:r>
    </w:p>
    <w:p w14:paraId="075E1C01">
      <w:pPr>
        <w:pStyle w:val="28"/>
        <w:numPr>
          <w:ilvl w:val="0"/>
          <w:numId w:val="6"/>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rPr>
        <w:t xml:space="preserve">贯彻标准的要求和措施建议 </w:t>
      </w:r>
    </w:p>
    <w:p w14:paraId="75391968">
      <w:pPr>
        <w:widowControl/>
        <w:spacing w:beforeLines="0" w:afterLines="0" w:line="360" w:lineRule="auto"/>
        <w:ind w:firstLine="560" w:firstLineChars="200"/>
        <w:rPr>
          <w:rFonts w:hint="default"/>
          <w:sz w:val="24"/>
          <w:szCs w:val="24"/>
        </w:rPr>
      </w:pPr>
      <w:r>
        <w:rPr>
          <w:rFonts w:hint="eastAsia" w:ascii="宋体" w:hAnsi="宋体" w:cs="宋体"/>
          <w:color w:val="000000"/>
          <w:sz w:val="28"/>
          <w:szCs w:val="28"/>
          <w:lang w:bidi="ar"/>
        </w:rPr>
        <w:t xml:space="preserve">建议本标准批准发布 1 个月后实施。 </w:t>
      </w:r>
    </w:p>
    <w:p w14:paraId="2DDA079B">
      <w:pPr>
        <w:pStyle w:val="28"/>
        <w:numPr>
          <w:ilvl w:val="0"/>
          <w:numId w:val="6"/>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rPr>
        <w:t xml:space="preserve">废止现行相关标准的建议 </w:t>
      </w:r>
    </w:p>
    <w:p w14:paraId="28E66BF6">
      <w:pPr>
        <w:widowControl/>
        <w:spacing w:beforeLines="0" w:afterLines="0" w:line="360" w:lineRule="auto"/>
        <w:ind w:firstLine="560" w:firstLineChars="200"/>
        <w:rPr>
          <w:rFonts w:hint="default"/>
          <w:sz w:val="24"/>
          <w:szCs w:val="24"/>
        </w:rPr>
      </w:pPr>
      <w:r>
        <w:rPr>
          <w:rFonts w:hint="eastAsia" w:ascii="宋体" w:hAnsi="宋体" w:cs="宋体"/>
          <w:color w:val="000000"/>
          <w:sz w:val="28"/>
          <w:szCs w:val="28"/>
          <w:lang w:bidi="ar"/>
        </w:rPr>
        <w:t xml:space="preserve">无。 </w:t>
      </w:r>
    </w:p>
    <w:p w14:paraId="78F2B99A">
      <w:pPr>
        <w:pStyle w:val="28"/>
        <w:numPr>
          <w:ilvl w:val="0"/>
          <w:numId w:val="6"/>
        </w:numPr>
        <w:spacing w:line="360" w:lineRule="auto"/>
        <w:ind w:firstLineChars="0"/>
        <w:rPr>
          <w:rFonts w:hint="eastAsia" w:ascii="黑体" w:hAnsi="黑体" w:eastAsia="黑体" w:cs="Times New Roman"/>
          <w:b/>
          <w:bCs/>
          <w:sz w:val="28"/>
          <w:szCs w:val="28"/>
        </w:rPr>
      </w:pPr>
      <w:r>
        <w:rPr>
          <w:rFonts w:hint="eastAsia" w:ascii="黑体" w:hAnsi="黑体" w:eastAsia="黑体" w:cs="Times New Roman"/>
          <w:b/>
          <w:bCs/>
          <w:sz w:val="28"/>
          <w:szCs w:val="28"/>
        </w:rPr>
        <w:t xml:space="preserve">其他应予说明的事项  </w:t>
      </w:r>
    </w:p>
    <w:p w14:paraId="6626DA1D">
      <w:pPr>
        <w:pStyle w:val="5"/>
        <w:wordWrap w:val="0"/>
        <w:topLinePunct/>
        <w:autoSpaceDE/>
        <w:autoSpaceDN/>
        <w:spacing w:before="0" w:beforeLines="0" w:afterLines="0" w:line="360" w:lineRule="auto"/>
        <w:ind w:left="0" w:firstLineChars="200"/>
        <w:rPr>
          <w:rFonts w:hint="default"/>
          <w:sz w:val="20"/>
          <w:szCs w:val="24"/>
        </w:rPr>
      </w:pPr>
      <w:r>
        <w:rPr>
          <w:rFonts w:hint="eastAsia"/>
          <w:sz w:val="24"/>
          <w:szCs w:val="24"/>
        </w:rPr>
        <w:t xml:space="preserve">无。 </w:t>
      </w:r>
    </w:p>
    <w:p w14:paraId="3B9FE96C">
      <w:pPr>
        <w:pStyle w:val="5"/>
        <w:wordWrap w:val="0"/>
        <w:topLinePunct/>
        <w:autoSpaceDE/>
        <w:autoSpaceDN/>
        <w:spacing w:before="0" w:beforeLines="0" w:afterLines="0" w:line="360" w:lineRule="auto"/>
        <w:ind w:firstLine="5582" w:firstLineChars="2326"/>
        <w:jc w:val="both"/>
        <w:rPr>
          <w:rFonts w:hint="eastAsia"/>
          <w:sz w:val="24"/>
          <w:szCs w:val="24"/>
        </w:rPr>
      </w:pPr>
      <w:r>
        <w:rPr>
          <w:rFonts w:hint="eastAsia"/>
          <w:sz w:val="24"/>
          <w:szCs w:val="24"/>
        </w:rPr>
        <w:t xml:space="preserve">标准起草工作组 </w:t>
      </w:r>
    </w:p>
    <w:p w14:paraId="1D888C1F">
      <w:pPr>
        <w:pStyle w:val="5"/>
        <w:wordWrap w:val="0"/>
        <w:topLinePunct/>
        <w:autoSpaceDE/>
        <w:autoSpaceDN/>
        <w:spacing w:before="0" w:beforeLines="0" w:afterLines="0" w:line="360" w:lineRule="auto"/>
        <w:ind w:left="0" w:firstLineChars="200"/>
        <w:jc w:val="center"/>
      </w:pPr>
      <w:r>
        <w:rPr>
          <w:rFonts w:hint="eastAsia"/>
          <w:sz w:val="24"/>
          <w:szCs w:val="24"/>
        </w:rPr>
        <w:t xml:space="preserve">                                   202</w:t>
      </w:r>
      <w:r>
        <w:rPr>
          <w:rFonts w:hint="eastAsia"/>
          <w:sz w:val="24"/>
          <w:szCs w:val="24"/>
          <w:lang w:val="en-US" w:eastAsia="zh-CN"/>
        </w:rPr>
        <w:t>6</w:t>
      </w:r>
      <w:r>
        <w:rPr>
          <w:rFonts w:hint="eastAsia"/>
          <w:sz w:val="24"/>
          <w:szCs w:val="24"/>
        </w:rPr>
        <w:t>年</w:t>
      </w:r>
      <w:r>
        <w:rPr>
          <w:rFonts w:hint="eastAsia"/>
          <w:sz w:val="24"/>
          <w:szCs w:val="24"/>
          <w:lang w:val="en-US" w:eastAsia="zh-CN"/>
        </w:rPr>
        <w:t>5</w:t>
      </w:r>
      <w:r>
        <w:rPr>
          <w:rFonts w:hint="eastAsia"/>
          <w:sz w:val="24"/>
          <w:szCs w:val="24"/>
        </w:rPr>
        <w:t xml:space="preserve">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4F99D"/>
    <w:multiLevelType w:val="multilevel"/>
    <w:tmpl w:val="B2D4F99D"/>
    <w:lvl w:ilvl="0" w:tentative="0">
      <w:start w:val="1"/>
      <w:numFmt w:val="decimal"/>
      <w:lvlText w:val="%1."/>
      <w:lvlJc w:val="left"/>
      <w:pPr>
        <w:ind w:left="905" w:hanging="425"/>
      </w:pPr>
    </w:lvl>
    <w:lvl w:ilvl="1" w:tentative="0">
      <w:start w:val="1"/>
      <w:numFmt w:val="decimal"/>
      <w:lvlText w:val="%1.%2."/>
      <w:lvlJc w:val="left"/>
      <w:pPr>
        <w:ind w:left="1047" w:hanging="567"/>
      </w:pPr>
    </w:lvl>
    <w:lvl w:ilvl="2" w:tentative="0">
      <w:start w:val="1"/>
      <w:numFmt w:val="decimal"/>
      <w:lvlText w:val="%1.%2.%3."/>
      <w:lvlJc w:val="left"/>
      <w:pPr>
        <w:ind w:left="1189" w:hanging="709"/>
      </w:pPr>
    </w:lvl>
    <w:lvl w:ilvl="3" w:tentative="0">
      <w:start w:val="1"/>
      <w:numFmt w:val="decimal"/>
      <w:lvlText w:val="%1.%2.%3.%4."/>
      <w:lvlJc w:val="left"/>
      <w:pPr>
        <w:ind w:left="1331" w:hanging="851"/>
      </w:pPr>
    </w:lvl>
    <w:lvl w:ilvl="4" w:tentative="0">
      <w:start w:val="1"/>
      <w:numFmt w:val="decimal"/>
      <w:lvlText w:val="%1.%2.%3.%4.%5."/>
      <w:lvlJc w:val="left"/>
      <w:pPr>
        <w:ind w:left="1472" w:hanging="992"/>
      </w:pPr>
    </w:lvl>
    <w:lvl w:ilvl="5" w:tentative="0">
      <w:start w:val="1"/>
      <w:numFmt w:val="decimal"/>
      <w:lvlText w:val="%1.%2.%3.%4.%5.%6."/>
      <w:lvlJc w:val="left"/>
      <w:pPr>
        <w:ind w:left="1614" w:hanging="1134"/>
      </w:pPr>
    </w:lvl>
    <w:lvl w:ilvl="6" w:tentative="0">
      <w:start w:val="1"/>
      <w:numFmt w:val="decimal"/>
      <w:lvlText w:val="%1.%2.%3.%4.%5.%6.%7."/>
      <w:lvlJc w:val="left"/>
      <w:pPr>
        <w:ind w:left="1756" w:hanging="1276"/>
      </w:pPr>
    </w:lvl>
    <w:lvl w:ilvl="7" w:tentative="0">
      <w:start w:val="1"/>
      <w:numFmt w:val="decimal"/>
      <w:lvlText w:val="%1.%2.%3.%4.%5.%6.%7.%8."/>
      <w:lvlJc w:val="left"/>
      <w:pPr>
        <w:ind w:left="1898" w:hanging="1418"/>
      </w:pPr>
    </w:lvl>
    <w:lvl w:ilvl="8" w:tentative="0">
      <w:start w:val="1"/>
      <w:numFmt w:val="decimal"/>
      <w:lvlText w:val="%1.%2.%3.%4.%5.%6.%7.%8.%9."/>
      <w:lvlJc w:val="left"/>
      <w:pPr>
        <w:ind w:left="2039" w:hanging="1559"/>
      </w:pPr>
    </w:lvl>
  </w:abstractNum>
  <w:abstractNum w:abstractNumId="1">
    <w:nsid w:val="C4303108"/>
    <w:multiLevelType w:val="multilevel"/>
    <w:tmpl w:val="C4303108"/>
    <w:lvl w:ilvl="0" w:tentative="0">
      <w:start w:val="1"/>
      <w:numFmt w:val="decimal"/>
      <w:lvlText w:val="%1."/>
      <w:lvlJc w:val="left"/>
      <w:pPr>
        <w:ind w:left="905" w:hanging="425"/>
      </w:pPr>
    </w:lvl>
    <w:lvl w:ilvl="1" w:tentative="0">
      <w:start w:val="1"/>
      <w:numFmt w:val="decimal"/>
      <w:lvlText w:val="%1.%2."/>
      <w:lvlJc w:val="left"/>
      <w:pPr>
        <w:ind w:left="1047" w:hanging="567"/>
      </w:pPr>
    </w:lvl>
    <w:lvl w:ilvl="2" w:tentative="0">
      <w:start w:val="1"/>
      <w:numFmt w:val="decimal"/>
      <w:lvlText w:val="%1.%2.%3."/>
      <w:lvlJc w:val="left"/>
      <w:pPr>
        <w:ind w:left="1189" w:hanging="709"/>
      </w:pPr>
    </w:lvl>
    <w:lvl w:ilvl="3" w:tentative="0">
      <w:start w:val="1"/>
      <w:numFmt w:val="decimal"/>
      <w:lvlText w:val="%1.%2.%3.%4."/>
      <w:lvlJc w:val="left"/>
      <w:pPr>
        <w:ind w:left="1331" w:hanging="851"/>
      </w:pPr>
    </w:lvl>
    <w:lvl w:ilvl="4" w:tentative="0">
      <w:start w:val="1"/>
      <w:numFmt w:val="decimal"/>
      <w:lvlText w:val="%1.%2.%3.%4.%5."/>
      <w:lvlJc w:val="left"/>
      <w:pPr>
        <w:ind w:left="1472" w:hanging="992"/>
      </w:pPr>
    </w:lvl>
    <w:lvl w:ilvl="5" w:tentative="0">
      <w:start w:val="1"/>
      <w:numFmt w:val="decimal"/>
      <w:lvlText w:val="%1.%2.%3.%4.%5.%6."/>
      <w:lvlJc w:val="left"/>
      <w:pPr>
        <w:ind w:left="1614" w:hanging="1134"/>
      </w:pPr>
    </w:lvl>
    <w:lvl w:ilvl="6" w:tentative="0">
      <w:start w:val="1"/>
      <w:numFmt w:val="decimal"/>
      <w:lvlText w:val="%1.%2.%3.%4.%5.%6.%7."/>
      <w:lvlJc w:val="left"/>
      <w:pPr>
        <w:ind w:left="1756" w:hanging="1276"/>
      </w:pPr>
    </w:lvl>
    <w:lvl w:ilvl="7" w:tentative="0">
      <w:start w:val="1"/>
      <w:numFmt w:val="decimal"/>
      <w:lvlText w:val="%1.%2.%3.%4.%5.%6.%7.%8."/>
      <w:lvlJc w:val="left"/>
      <w:pPr>
        <w:ind w:left="1898" w:hanging="1418"/>
      </w:pPr>
    </w:lvl>
    <w:lvl w:ilvl="8" w:tentative="0">
      <w:start w:val="1"/>
      <w:numFmt w:val="decimal"/>
      <w:lvlText w:val="%1.%2.%3.%4.%5.%6.%7.%8.%9."/>
      <w:lvlJc w:val="left"/>
      <w:pPr>
        <w:ind w:left="2039" w:hanging="1559"/>
      </w:pPr>
    </w:lvl>
  </w:abstractNum>
  <w:abstractNum w:abstractNumId="2">
    <w:nsid w:val="00000001"/>
    <w:multiLevelType w:val="multilevel"/>
    <w:tmpl w:val="00000001"/>
    <w:lvl w:ilvl="0" w:tentative="0">
      <w:start w:val="1"/>
      <w:numFmt w:val="decimal"/>
      <w:lvlText w:val="%1."/>
      <w:lvlJc w:val="left"/>
      <w:pPr>
        <w:tabs>
          <w:tab w:val="left" w:pos="435"/>
        </w:tabs>
        <w:ind w:left="435" w:hanging="43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pStyle w:val="16"/>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1107534"/>
    <w:multiLevelType w:val="multilevel"/>
    <w:tmpl w:val="01107534"/>
    <w:lvl w:ilvl="0" w:tentative="0">
      <w:start w:val="1"/>
      <w:numFmt w:val="decimal"/>
      <w:lvlText w:val="%1."/>
      <w:lvlJc w:val="left"/>
      <w:pPr>
        <w:ind w:left="905" w:hanging="425"/>
      </w:pPr>
    </w:lvl>
    <w:lvl w:ilvl="1" w:tentative="0">
      <w:start w:val="1"/>
      <w:numFmt w:val="decimal"/>
      <w:lvlText w:val="%1.%2."/>
      <w:lvlJc w:val="left"/>
      <w:pPr>
        <w:ind w:left="1047" w:hanging="567"/>
      </w:pPr>
    </w:lvl>
    <w:lvl w:ilvl="2" w:tentative="0">
      <w:start w:val="1"/>
      <w:numFmt w:val="decimal"/>
      <w:lvlText w:val="%1.%2.%3."/>
      <w:lvlJc w:val="left"/>
      <w:pPr>
        <w:ind w:left="1189" w:hanging="709"/>
      </w:pPr>
    </w:lvl>
    <w:lvl w:ilvl="3" w:tentative="0">
      <w:start w:val="1"/>
      <w:numFmt w:val="decimal"/>
      <w:lvlText w:val="%1.%2.%3.%4."/>
      <w:lvlJc w:val="left"/>
      <w:pPr>
        <w:ind w:left="1331" w:hanging="851"/>
      </w:pPr>
    </w:lvl>
    <w:lvl w:ilvl="4" w:tentative="0">
      <w:start w:val="1"/>
      <w:numFmt w:val="decimal"/>
      <w:lvlText w:val="%1.%2.%3.%4.%5."/>
      <w:lvlJc w:val="left"/>
      <w:pPr>
        <w:ind w:left="1472" w:hanging="992"/>
      </w:pPr>
    </w:lvl>
    <w:lvl w:ilvl="5" w:tentative="0">
      <w:start w:val="1"/>
      <w:numFmt w:val="decimal"/>
      <w:lvlText w:val="%1.%2.%3.%4.%5.%6."/>
      <w:lvlJc w:val="left"/>
      <w:pPr>
        <w:ind w:left="1614" w:hanging="1134"/>
      </w:pPr>
    </w:lvl>
    <w:lvl w:ilvl="6" w:tentative="0">
      <w:start w:val="1"/>
      <w:numFmt w:val="decimal"/>
      <w:lvlText w:val="%1.%2.%3.%4.%5.%6.%7."/>
      <w:lvlJc w:val="left"/>
      <w:pPr>
        <w:ind w:left="1756" w:hanging="1276"/>
      </w:pPr>
    </w:lvl>
    <w:lvl w:ilvl="7" w:tentative="0">
      <w:start w:val="1"/>
      <w:numFmt w:val="decimal"/>
      <w:lvlText w:val="%1.%2.%3.%4.%5.%6.%7.%8."/>
      <w:lvlJc w:val="left"/>
      <w:pPr>
        <w:ind w:left="1898" w:hanging="1418"/>
      </w:pPr>
    </w:lvl>
    <w:lvl w:ilvl="8" w:tentative="0">
      <w:start w:val="1"/>
      <w:numFmt w:val="decimal"/>
      <w:lvlText w:val="%1.%2.%3.%4.%5.%6.%7.%8.%9."/>
      <w:lvlJc w:val="left"/>
      <w:pPr>
        <w:ind w:left="2039" w:hanging="1559"/>
      </w:pPr>
    </w:lvl>
  </w:abstractNum>
  <w:abstractNum w:abstractNumId="4">
    <w:nsid w:val="0B8C2E11"/>
    <w:multiLevelType w:val="multilevel"/>
    <w:tmpl w:val="0B8C2E11"/>
    <w:lvl w:ilvl="0" w:tentative="0">
      <w:start w:val="1"/>
      <w:numFmt w:val="chineseCountingThousand"/>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44C50F90"/>
    <w:multiLevelType w:val="multilevel"/>
    <w:tmpl w:val="44C50F90"/>
    <w:lvl w:ilvl="0" w:tentative="0">
      <w:start w:val="1"/>
      <w:numFmt w:val="lowerLetter"/>
      <w:pStyle w:val="19"/>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55BB2607"/>
    <w:multiLevelType w:val="multilevel"/>
    <w:tmpl w:val="55BB2607"/>
    <w:lvl w:ilvl="0" w:tentative="0">
      <w:start w:val="1"/>
      <w:numFmt w:val="decimal"/>
      <w:lvlText w:val="%1."/>
      <w:lvlJc w:val="left"/>
      <w:pPr>
        <w:ind w:left="905" w:hanging="425"/>
      </w:pPr>
    </w:lvl>
    <w:lvl w:ilvl="1" w:tentative="0">
      <w:start w:val="1"/>
      <w:numFmt w:val="decimal"/>
      <w:lvlText w:val="%1.%2."/>
      <w:lvlJc w:val="left"/>
      <w:pPr>
        <w:ind w:left="1047" w:hanging="567"/>
      </w:pPr>
    </w:lvl>
    <w:lvl w:ilvl="2" w:tentative="0">
      <w:start w:val="1"/>
      <w:numFmt w:val="decimal"/>
      <w:lvlText w:val="%1.%2.%3."/>
      <w:lvlJc w:val="left"/>
      <w:pPr>
        <w:ind w:left="1189" w:hanging="709"/>
      </w:pPr>
    </w:lvl>
    <w:lvl w:ilvl="3" w:tentative="0">
      <w:start w:val="1"/>
      <w:numFmt w:val="decimal"/>
      <w:lvlText w:val="%1.%2.%3.%4."/>
      <w:lvlJc w:val="left"/>
      <w:pPr>
        <w:ind w:left="1331" w:hanging="851"/>
      </w:pPr>
    </w:lvl>
    <w:lvl w:ilvl="4" w:tentative="0">
      <w:start w:val="1"/>
      <w:numFmt w:val="decimal"/>
      <w:lvlText w:val="%1.%2.%3.%4.%5."/>
      <w:lvlJc w:val="left"/>
      <w:pPr>
        <w:ind w:left="1472" w:hanging="992"/>
      </w:pPr>
    </w:lvl>
    <w:lvl w:ilvl="5" w:tentative="0">
      <w:start w:val="1"/>
      <w:numFmt w:val="decimal"/>
      <w:lvlText w:val="%1.%2.%3.%4.%5.%6."/>
      <w:lvlJc w:val="left"/>
      <w:pPr>
        <w:ind w:left="1614" w:hanging="1134"/>
      </w:pPr>
    </w:lvl>
    <w:lvl w:ilvl="6" w:tentative="0">
      <w:start w:val="1"/>
      <w:numFmt w:val="decimal"/>
      <w:lvlText w:val="%1.%2.%3.%4.%5.%6.%7."/>
      <w:lvlJc w:val="left"/>
      <w:pPr>
        <w:ind w:left="1756" w:hanging="1276"/>
      </w:pPr>
    </w:lvl>
    <w:lvl w:ilvl="7" w:tentative="0">
      <w:start w:val="1"/>
      <w:numFmt w:val="decimal"/>
      <w:lvlText w:val="%1.%2.%3.%4.%5.%6.%7.%8."/>
      <w:lvlJc w:val="left"/>
      <w:pPr>
        <w:ind w:left="1898" w:hanging="1418"/>
      </w:pPr>
    </w:lvl>
    <w:lvl w:ilvl="8" w:tentative="0">
      <w:start w:val="1"/>
      <w:numFmt w:val="decimal"/>
      <w:lvlText w:val="%1.%2.%3.%4.%5.%6.%7.%8.%9."/>
      <w:lvlJc w:val="left"/>
      <w:pPr>
        <w:ind w:left="2039" w:hanging="1559"/>
      </w:pPr>
    </w:lvl>
  </w:abstractNum>
  <w:abstractNum w:abstractNumId="7">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3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32"/>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0"/>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8"/>
      <w:suff w:val="nothing"/>
      <w:lvlText w:val="%1%2.%3.%4　"/>
      <w:lvlJc w:val="left"/>
      <w:pPr>
        <w:ind w:left="0" w:firstLine="0"/>
      </w:pPr>
      <w:rPr>
        <w:rFonts w:hint="eastAsia" w:ascii="黑体" w:eastAsia="黑体"/>
        <w:b w:val="0"/>
        <w:i w:val="0"/>
        <w:sz w:val="21"/>
      </w:rPr>
    </w:lvl>
    <w:lvl w:ilvl="4" w:tentative="0">
      <w:start w:val="1"/>
      <w:numFmt w:val="decimal"/>
      <w:pStyle w:val="17"/>
      <w:suff w:val="nothing"/>
      <w:lvlText w:val="%1%2.%3.%4.%5　"/>
      <w:lvlJc w:val="left"/>
      <w:pPr>
        <w:ind w:left="142" w:firstLine="0"/>
      </w:pPr>
      <w:rPr>
        <w:rFonts w:hint="eastAsia" w:ascii="黑体" w:eastAsia="黑体"/>
        <w:b w:val="0"/>
        <w:i w:val="0"/>
        <w:color w:val="000000" w:themeColor="text1"/>
        <w:sz w:val="21"/>
        <w14:textFill>
          <w14:solidFill>
            <w14:schemeClr w14:val="tx1"/>
          </w14:solidFill>
        </w14:textFill>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9"/>
  </w:num>
  <w:num w:numId="3">
    <w:abstractNumId w:val="5"/>
  </w:num>
  <w:num w:numId="4">
    <w:abstractNumId w:val="7"/>
  </w:num>
  <w:num w:numId="5">
    <w:abstractNumId w:val="8"/>
  </w:num>
  <w:num w:numId="6">
    <w:abstractNumId w:val="4"/>
  </w:num>
  <w:num w:numId="7">
    <w:abstractNumId w:val="3"/>
  </w:num>
  <w:num w:numId="8">
    <w:abstractNumId w:val="6"/>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2Njk2MDJmYWFlNjc4MTFhOWQ3NmVmYTkxMjViZGEifQ=="/>
  </w:docVars>
  <w:rsids>
    <w:rsidRoot w:val="00331F83"/>
    <w:rsid w:val="00034F49"/>
    <w:rsid w:val="00061187"/>
    <w:rsid w:val="00067806"/>
    <w:rsid w:val="00076B25"/>
    <w:rsid w:val="0008434E"/>
    <w:rsid w:val="000E0BE8"/>
    <w:rsid w:val="000F796F"/>
    <w:rsid w:val="00143CA0"/>
    <w:rsid w:val="00146CCF"/>
    <w:rsid w:val="001E0963"/>
    <w:rsid w:val="001E1C3F"/>
    <w:rsid w:val="001F6650"/>
    <w:rsid w:val="00201EBA"/>
    <w:rsid w:val="00217214"/>
    <w:rsid w:val="00260F5E"/>
    <w:rsid w:val="002870A2"/>
    <w:rsid w:val="00297F0B"/>
    <w:rsid w:val="002A259F"/>
    <w:rsid w:val="002C3A18"/>
    <w:rsid w:val="002E0788"/>
    <w:rsid w:val="002E2F42"/>
    <w:rsid w:val="002F0367"/>
    <w:rsid w:val="00305820"/>
    <w:rsid w:val="0031654E"/>
    <w:rsid w:val="00317109"/>
    <w:rsid w:val="0032193E"/>
    <w:rsid w:val="00331F83"/>
    <w:rsid w:val="00357BFC"/>
    <w:rsid w:val="00360C98"/>
    <w:rsid w:val="00380A8F"/>
    <w:rsid w:val="00382A4F"/>
    <w:rsid w:val="0039371A"/>
    <w:rsid w:val="003A0665"/>
    <w:rsid w:val="003B2E26"/>
    <w:rsid w:val="003D091D"/>
    <w:rsid w:val="00401383"/>
    <w:rsid w:val="00411A4F"/>
    <w:rsid w:val="00471113"/>
    <w:rsid w:val="00491932"/>
    <w:rsid w:val="004A7C2A"/>
    <w:rsid w:val="004B1ABC"/>
    <w:rsid w:val="004D0338"/>
    <w:rsid w:val="004F718E"/>
    <w:rsid w:val="00500C61"/>
    <w:rsid w:val="00504925"/>
    <w:rsid w:val="005459C8"/>
    <w:rsid w:val="00546D89"/>
    <w:rsid w:val="0055288F"/>
    <w:rsid w:val="00584916"/>
    <w:rsid w:val="005964FC"/>
    <w:rsid w:val="005B6EFD"/>
    <w:rsid w:val="005D35DC"/>
    <w:rsid w:val="005E03E4"/>
    <w:rsid w:val="005E30AB"/>
    <w:rsid w:val="006052FB"/>
    <w:rsid w:val="00617880"/>
    <w:rsid w:val="00624953"/>
    <w:rsid w:val="006D2F2B"/>
    <w:rsid w:val="006F025A"/>
    <w:rsid w:val="006F5F5B"/>
    <w:rsid w:val="00704307"/>
    <w:rsid w:val="00705677"/>
    <w:rsid w:val="00715DEA"/>
    <w:rsid w:val="007678C1"/>
    <w:rsid w:val="007A39D3"/>
    <w:rsid w:val="007B09E2"/>
    <w:rsid w:val="007F7E65"/>
    <w:rsid w:val="00800CE0"/>
    <w:rsid w:val="00807862"/>
    <w:rsid w:val="0081096B"/>
    <w:rsid w:val="00814612"/>
    <w:rsid w:val="00823778"/>
    <w:rsid w:val="00870A24"/>
    <w:rsid w:val="00872975"/>
    <w:rsid w:val="0088474E"/>
    <w:rsid w:val="0089013D"/>
    <w:rsid w:val="00893853"/>
    <w:rsid w:val="008A0D4D"/>
    <w:rsid w:val="008A244A"/>
    <w:rsid w:val="008B2639"/>
    <w:rsid w:val="008C6A7A"/>
    <w:rsid w:val="008F64AB"/>
    <w:rsid w:val="00902006"/>
    <w:rsid w:val="00924D5E"/>
    <w:rsid w:val="00940B99"/>
    <w:rsid w:val="009F2A7E"/>
    <w:rsid w:val="00A10C34"/>
    <w:rsid w:val="00A11C15"/>
    <w:rsid w:val="00A35A7D"/>
    <w:rsid w:val="00A40861"/>
    <w:rsid w:val="00A4632C"/>
    <w:rsid w:val="00A57E6F"/>
    <w:rsid w:val="00A77E70"/>
    <w:rsid w:val="00AC410D"/>
    <w:rsid w:val="00AD46A8"/>
    <w:rsid w:val="00AE00F8"/>
    <w:rsid w:val="00B135C3"/>
    <w:rsid w:val="00B34A8F"/>
    <w:rsid w:val="00B436FB"/>
    <w:rsid w:val="00B61140"/>
    <w:rsid w:val="00B719DE"/>
    <w:rsid w:val="00B978E2"/>
    <w:rsid w:val="00BA09E3"/>
    <w:rsid w:val="00BA772B"/>
    <w:rsid w:val="00BC355F"/>
    <w:rsid w:val="00BD34B3"/>
    <w:rsid w:val="00BD4780"/>
    <w:rsid w:val="00BF2415"/>
    <w:rsid w:val="00C20CEE"/>
    <w:rsid w:val="00C25B11"/>
    <w:rsid w:val="00C37F47"/>
    <w:rsid w:val="00C664E5"/>
    <w:rsid w:val="00C739B6"/>
    <w:rsid w:val="00CA59D8"/>
    <w:rsid w:val="00CB48CA"/>
    <w:rsid w:val="00CC7301"/>
    <w:rsid w:val="00CD509D"/>
    <w:rsid w:val="00CD647B"/>
    <w:rsid w:val="00CE672A"/>
    <w:rsid w:val="00CF2D17"/>
    <w:rsid w:val="00D069C6"/>
    <w:rsid w:val="00D1017D"/>
    <w:rsid w:val="00D15D0E"/>
    <w:rsid w:val="00D361F5"/>
    <w:rsid w:val="00D37DF6"/>
    <w:rsid w:val="00D438F1"/>
    <w:rsid w:val="00D510C1"/>
    <w:rsid w:val="00D701EA"/>
    <w:rsid w:val="00D75334"/>
    <w:rsid w:val="00D81F19"/>
    <w:rsid w:val="00DC7B9B"/>
    <w:rsid w:val="00DD63D8"/>
    <w:rsid w:val="00E04E9F"/>
    <w:rsid w:val="00E13C17"/>
    <w:rsid w:val="00E145EA"/>
    <w:rsid w:val="00E2408F"/>
    <w:rsid w:val="00E32D48"/>
    <w:rsid w:val="00E601D2"/>
    <w:rsid w:val="00E623A3"/>
    <w:rsid w:val="00E7249F"/>
    <w:rsid w:val="00E74466"/>
    <w:rsid w:val="00E8748C"/>
    <w:rsid w:val="00E9059D"/>
    <w:rsid w:val="00E960DA"/>
    <w:rsid w:val="00EB3719"/>
    <w:rsid w:val="00EE090C"/>
    <w:rsid w:val="00F24577"/>
    <w:rsid w:val="00F4243E"/>
    <w:rsid w:val="00F55572"/>
    <w:rsid w:val="00F70794"/>
    <w:rsid w:val="00F74460"/>
    <w:rsid w:val="00F95332"/>
    <w:rsid w:val="00FA64C8"/>
    <w:rsid w:val="00FB5D24"/>
    <w:rsid w:val="00FD2350"/>
    <w:rsid w:val="00FD3666"/>
    <w:rsid w:val="00FD57B3"/>
    <w:rsid w:val="00FD59B4"/>
    <w:rsid w:val="00FE6F27"/>
    <w:rsid w:val="00FF0C22"/>
    <w:rsid w:val="00FF1050"/>
    <w:rsid w:val="03380B68"/>
    <w:rsid w:val="04AC7907"/>
    <w:rsid w:val="05E03D0C"/>
    <w:rsid w:val="06F95C01"/>
    <w:rsid w:val="0753050D"/>
    <w:rsid w:val="07BA16A1"/>
    <w:rsid w:val="08332819"/>
    <w:rsid w:val="09A07FF9"/>
    <w:rsid w:val="0D162CA1"/>
    <w:rsid w:val="0D523741"/>
    <w:rsid w:val="0E153741"/>
    <w:rsid w:val="0F543075"/>
    <w:rsid w:val="101F3682"/>
    <w:rsid w:val="1029095A"/>
    <w:rsid w:val="105C0433"/>
    <w:rsid w:val="10AC11D6"/>
    <w:rsid w:val="11A16426"/>
    <w:rsid w:val="12E54B30"/>
    <w:rsid w:val="13511DA5"/>
    <w:rsid w:val="13E27AA8"/>
    <w:rsid w:val="15325C06"/>
    <w:rsid w:val="15792434"/>
    <w:rsid w:val="16C17241"/>
    <w:rsid w:val="178725D7"/>
    <w:rsid w:val="18143A95"/>
    <w:rsid w:val="18CB25F9"/>
    <w:rsid w:val="19924350"/>
    <w:rsid w:val="19DF7A63"/>
    <w:rsid w:val="1A6A5A7A"/>
    <w:rsid w:val="1C56667E"/>
    <w:rsid w:val="1D1E53EE"/>
    <w:rsid w:val="1E9B0E60"/>
    <w:rsid w:val="221072CF"/>
    <w:rsid w:val="223034CD"/>
    <w:rsid w:val="23F453B4"/>
    <w:rsid w:val="23F902D1"/>
    <w:rsid w:val="2504136D"/>
    <w:rsid w:val="26125C69"/>
    <w:rsid w:val="29064F88"/>
    <w:rsid w:val="2E774C35"/>
    <w:rsid w:val="304C7301"/>
    <w:rsid w:val="327B0795"/>
    <w:rsid w:val="34C203A9"/>
    <w:rsid w:val="35E15C82"/>
    <w:rsid w:val="38C74734"/>
    <w:rsid w:val="39CE1AF2"/>
    <w:rsid w:val="3A461688"/>
    <w:rsid w:val="3CE26273"/>
    <w:rsid w:val="3FB56896"/>
    <w:rsid w:val="44073A0F"/>
    <w:rsid w:val="441F5424"/>
    <w:rsid w:val="4807482C"/>
    <w:rsid w:val="48A443C6"/>
    <w:rsid w:val="492509CD"/>
    <w:rsid w:val="4A0D5D1E"/>
    <w:rsid w:val="4A11580F"/>
    <w:rsid w:val="4CD5701D"/>
    <w:rsid w:val="4EA34EA3"/>
    <w:rsid w:val="4F18319B"/>
    <w:rsid w:val="50002422"/>
    <w:rsid w:val="50095BEE"/>
    <w:rsid w:val="503F5D11"/>
    <w:rsid w:val="50F96FFC"/>
    <w:rsid w:val="5164091A"/>
    <w:rsid w:val="51D206D1"/>
    <w:rsid w:val="526B5CD8"/>
    <w:rsid w:val="53677335"/>
    <w:rsid w:val="567315FF"/>
    <w:rsid w:val="56910B3B"/>
    <w:rsid w:val="56C4004C"/>
    <w:rsid w:val="57AC6B77"/>
    <w:rsid w:val="5A902780"/>
    <w:rsid w:val="5D5F468B"/>
    <w:rsid w:val="5F473629"/>
    <w:rsid w:val="5FA72DBF"/>
    <w:rsid w:val="5FB5188F"/>
    <w:rsid w:val="600A4D82"/>
    <w:rsid w:val="62570027"/>
    <w:rsid w:val="661C136B"/>
    <w:rsid w:val="66B06B73"/>
    <w:rsid w:val="67B81119"/>
    <w:rsid w:val="67C63D7F"/>
    <w:rsid w:val="69F12B0F"/>
    <w:rsid w:val="6A355018"/>
    <w:rsid w:val="6AB06B5E"/>
    <w:rsid w:val="6ADE47EE"/>
    <w:rsid w:val="6AFA652E"/>
    <w:rsid w:val="6D8C1A3B"/>
    <w:rsid w:val="6F545349"/>
    <w:rsid w:val="6FA523D2"/>
    <w:rsid w:val="7113555B"/>
    <w:rsid w:val="76E41081"/>
    <w:rsid w:val="77A411C1"/>
    <w:rsid w:val="77E31CE9"/>
    <w:rsid w:val="78AA0A59"/>
    <w:rsid w:val="7FA259F0"/>
    <w:rsid w:val="7FBB0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1" w:semiHidden="0" w:name="heading 4"/>
    <w:lsdException w:qFormat="1"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unhideWhenUsed/>
    <w:qFormat/>
    <w:uiPriority w:val="1"/>
    <w:pPr>
      <w:spacing w:beforeLines="0" w:afterLines="0"/>
      <w:ind w:left="118"/>
      <w:outlineLvl w:val="3"/>
    </w:pPr>
    <w:rPr>
      <w:rFonts w:hint="eastAsia" w:ascii="宋体" w:hAnsi="宋体"/>
      <w:b/>
      <w:sz w:val="28"/>
      <w:szCs w:val="24"/>
    </w:rPr>
  </w:style>
  <w:style w:type="paragraph" w:styleId="4">
    <w:name w:val="heading 5"/>
    <w:basedOn w:val="1"/>
    <w:unhideWhenUsed/>
    <w:qFormat/>
    <w:uiPriority w:val="1"/>
    <w:pPr>
      <w:spacing w:before="36" w:beforeLines="0" w:afterLines="0"/>
      <w:ind w:left="601"/>
      <w:outlineLvl w:val="4"/>
    </w:pPr>
    <w:rPr>
      <w:rFonts w:hint="eastAsia" w:ascii="宋体" w:hAnsi="宋体"/>
      <w:b/>
      <w:sz w:val="24"/>
      <w:szCs w:val="24"/>
    </w:rPr>
  </w:style>
  <w:style w:type="character" w:default="1" w:styleId="12">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Body Text"/>
    <w:basedOn w:val="1"/>
    <w:unhideWhenUsed/>
    <w:qFormat/>
    <w:uiPriority w:val="1"/>
    <w:pPr>
      <w:spacing w:before="36" w:beforeLines="0" w:afterLines="0"/>
      <w:ind w:left="118" w:firstLine="480"/>
    </w:pPr>
    <w:rPr>
      <w:rFonts w:hint="eastAsia" w:ascii="宋体" w:hAnsi="宋体"/>
      <w:sz w:val="24"/>
      <w:szCs w:val="24"/>
    </w:rPr>
  </w:style>
  <w:style w:type="paragraph" w:styleId="6">
    <w:name w:val="Date"/>
    <w:basedOn w:val="1"/>
    <w:next w:val="1"/>
    <w:link w:val="38"/>
    <w:qFormat/>
    <w:uiPriority w:val="0"/>
    <w:pPr>
      <w:ind w:left="100" w:leftChars="2500"/>
    </w:pPr>
  </w:style>
  <w:style w:type="paragraph" w:styleId="7">
    <w:name w:val="footer"/>
    <w:basedOn w:val="1"/>
    <w:link w:val="36"/>
    <w:qFormat/>
    <w:uiPriority w:val="0"/>
    <w:pPr>
      <w:tabs>
        <w:tab w:val="center" w:pos="4153"/>
        <w:tab w:val="right" w:pos="8306"/>
      </w:tabs>
      <w:snapToGrid w:val="0"/>
      <w:jc w:val="left"/>
    </w:pPr>
    <w:rPr>
      <w:sz w:val="18"/>
      <w:szCs w:val="18"/>
    </w:rPr>
  </w:style>
  <w:style w:type="paragraph" w:styleId="8">
    <w:name w:val="header"/>
    <w:basedOn w:val="1"/>
    <w:link w:val="35"/>
    <w:qFormat/>
    <w:uiPriority w:val="0"/>
    <w:pPr>
      <w:tabs>
        <w:tab w:val="center" w:pos="4153"/>
        <w:tab w:val="right" w:pos="8306"/>
      </w:tabs>
      <w:snapToGrid w:val="0"/>
      <w:jc w:val="center"/>
    </w:pPr>
    <w:rPr>
      <w:sz w:val="18"/>
      <w:szCs w:val="18"/>
    </w:rPr>
  </w:style>
  <w:style w:type="paragraph" w:styleId="9">
    <w:name w:val="toc 1"/>
    <w:basedOn w:val="1"/>
    <w:next w:val="1"/>
    <w:unhideWhenUsed/>
    <w:qFormat/>
    <w:uiPriority w:val="39"/>
    <w:rPr>
      <w:rFonts w:ascii="宋体"/>
    </w:rPr>
  </w:style>
  <w:style w:type="paragraph" w:styleId="10">
    <w:name w:val="Normal (Web)"/>
    <w:basedOn w:val="1"/>
    <w:qFormat/>
    <w:uiPriority w:val="0"/>
    <w:rPr>
      <w:sz w:val="24"/>
    </w:rPr>
  </w:style>
  <w:style w:type="character" w:styleId="13">
    <w:name w:val="Strong"/>
    <w:basedOn w:val="12"/>
    <w:qFormat/>
    <w:uiPriority w:val="0"/>
    <w:rPr>
      <w:b/>
    </w:rPr>
  </w:style>
  <w:style w:type="paragraph" w:customStyle="1" w:styleId="1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5">
    <w:name w:val="标准文件_段"/>
    <w:link w:val="3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标准文件_三级无标题"/>
    <w:basedOn w:val="17"/>
    <w:qFormat/>
    <w:uiPriority w:val="0"/>
    <w:pPr>
      <w:numPr>
        <w:numId w:val="1"/>
      </w:numPr>
      <w:tabs>
        <w:tab w:val="left" w:pos="2100"/>
      </w:tabs>
      <w:spacing w:before="0" w:beforeLines="0" w:after="0" w:afterLines="0"/>
      <w:outlineLvl w:val="9"/>
    </w:pPr>
    <w:rPr>
      <w:rFonts w:ascii="宋体" w:eastAsia="宋体"/>
      <w:szCs w:val="20"/>
    </w:rPr>
  </w:style>
  <w:style w:type="paragraph" w:customStyle="1" w:styleId="17">
    <w:name w:val="标准文件_三级条标题"/>
    <w:basedOn w:val="18"/>
    <w:next w:val="15"/>
    <w:qFormat/>
    <w:uiPriority w:val="0"/>
    <w:pPr>
      <w:widowControl/>
      <w:numPr>
        <w:ilvl w:val="4"/>
      </w:numPr>
      <w:ind w:left="0"/>
      <w:outlineLvl w:val="3"/>
    </w:pPr>
  </w:style>
  <w:style w:type="paragraph" w:customStyle="1" w:styleId="18">
    <w:name w:val="标准文件_二级条标题"/>
    <w:next w:val="15"/>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szCs w:val="22"/>
      <w:lang w:val="en-US" w:eastAsia="zh-CN" w:bidi="ar-SA"/>
    </w:rPr>
  </w:style>
  <w:style w:type="paragraph" w:customStyle="1" w:styleId="19">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20">
    <w:name w:val="标准文件_章标题"/>
    <w:next w:val="15"/>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1">
    <w:name w:val="标准文件_四级条标题"/>
    <w:next w:val="15"/>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2">
    <w:name w:val="标准文件_五级条标题"/>
    <w:next w:val="15"/>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3">
    <w:name w:val="标准文件_一级条标题"/>
    <w:basedOn w:val="20"/>
    <w:next w:val="15"/>
    <w:qFormat/>
    <w:uiPriority w:val="0"/>
    <w:pPr>
      <w:numPr>
        <w:ilvl w:val="0"/>
        <w:numId w:val="0"/>
      </w:numPr>
      <w:spacing w:before="50" w:beforeLines="50" w:after="50" w:afterLines="50"/>
      <w:outlineLvl w:val="1"/>
    </w:pPr>
  </w:style>
  <w:style w:type="paragraph" w:customStyle="1" w:styleId="24">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5">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26">
    <w:name w:val="标准文件_编号列项（三级）"/>
    <w:qFormat/>
    <w:uiPriority w:val="0"/>
    <w:pPr>
      <w:ind w:left="1701" w:hanging="425"/>
    </w:pPr>
    <w:rPr>
      <w:rFonts w:ascii="宋体" w:hAnsi="Times New Roman" w:eastAsia="宋体" w:cs="Times New Roman"/>
      <w:sz w:val="21"/>
      <w:lang w:val="en-US" w:eastAsia="zh-CN" w:bidi="ar-SA"/>
    </w:rPr>
  </w:style>
  <w:style w:type="paragraph" w:customStyle="1" w:styleId="27">
    <w:name w:val="标准文件_术语条二"/>
    <w:basedOn w:val="1"/>
    <w:next w:val="15"/>
    <w:qFormat/>
    <w:uiPriority w:val="0"/>
    <w:rPr>
      <w:rFonts w:ascii="宋体" w:hAnsi="Times New Roman" w:eastAsia="宋体" w:cs="Times New Roman"/>
      <w:kern w:val="0"/>
      <w:szCs w:val="20"/>
    </w:rPr>
  </w:style>
  <w:style w:type="paragraph" w:styleId="28">
    <w:name w:val="List Paragraph"/>
    <w:basedOn w:val="1"/>
    <w:unhideWhenUsed/>
    <w:qFormat/>
    <w:uiPriority w:val="34"/>
    <w:pPr>
      <w:adjustRightInd w:val="0"/>
      <w:spacing w:line="400" w:lineRule="exact"/>
      <w:ind w:firstLine="420" w:firstLineChars="200"/>
    </w:pPr>
    <w:rPr>
      <w:rFonts w:ascii="Calibri" w:hAnsi="Calibri" w:eastAsia="宋体" w:cs="Times New Roman"/>
      <w:szCs w:val="21"/>
    </w:rPr>
  </w:style>
  <w:style w:type="paragraph" w:customStyle="1" w:styleId="29">
    <w:name w:val="标准文件_表格"/>
    <w:basedOn w:val="15"/>
    <w:qFormat/>
    <w:uiPriority w:val="0"/>
    <w:pPr>
      <w:ind w:firstLine="0" w:firstLineChars="0"/>
      <w:jc w:val="center"/>
    </w:pPr>
    <w:rPr>
      <w:sz w:val="18"/>
    </w:rPr>
  </w:style>
  <w:style w:type="paragraph" w:customStyle="1" w:styleId="30">
    <w:name w:val="标准文件_附录表标题"/>
    <w:next w:val="15"/>
    <w:qFormat/>
    <w:uiPriority w:val="0"/>
    <w:pPr>
      <w:numPr>
        <w:ilvl w:val="1"/>
        <w:numId w:val="4"/>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31">
    <w:name w:val="标准文件_附录一级无标题"/>
    <w:basedOn w:val="32"/>
    <w:qFormat/>
    <w:uiPriority w:val="0"/>
    <w:pPr>
      <w:spacing w:before="0" w:beforeLines="0" w:after="0" w:afterLines="0" w:line="276" w:lineRule="auto"/>
      <w:outlineLvl w:val="9"/>
    </w:pPr>
    <w:rPr>
      <w:rFonts w:ascii="宋体" w:eastAsia="宋体"/>
    </w:rPr>
  </w:style>
  <w:style w:type="paragraph" w:customStyle="1" w:styleId="32">
    <w:name w:val="标准文件_附录一级条标题"/>
    <w:next w:val="15"/>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33">
    <w:name w:val="标准文件_四级无标题"/>
    <w:basedOn w:val="21"/>
    <w:qFormat/>
    <w:uiPriority w:val="0"/>
    <w:pPr>
      <w:spacing w:before="0" w:beforeLines="0" w:after="0" w:afterLines="0"/>
      <w:outlineLvl w:val="9"/>
    </w:pPr>
    <w:rPr>
      <w:rFonts w:ascii="宋体" w:hAnsi="黑体" w:eastAsia="宋体"/>
      <w:szCs w:val="52"/>
    </w:rPr>
  </w:style>
  <w:style w:type="paragraph" w:customStyle="1" w:styleId="34">
    <w:name w:val="标准文件_二级无标题"/>
    <w:basedOn w:val="18"/>
    <w:qFormat/>
    <w:uiPriority w:val="0"/>
    <w:pPr>
      <w:spacing w:before="0" w:beforeLines="0" w:after="0" w:afterLines="0"/>
      <w:outlineLvl w:val="9"/>
    </w:pPr>
    <w:rPr>
      <w:rFonts w:ascii="宋体" w:eastAsia="宋体"/>
    </w:rPr>
  </w:style>
  <w:style w:type="character" w:customStyle="1" w:styleId="35">
    <w:name w:val="页眉 Char"/>
    <w:basedOn w:val="12"/>
    <w:link w:val="8"/>
    <w:qFormat/>
    <w:uiPriority w:val="0"/>
    <w:rPr>
      <w:rFonts w:asciiTheme="minorHAnsi" w:hAnsiTheme="minorHAnsi" w:eastAsiaTheme="minorEastAsia" w:cstheme="minorBidi"/>
      <w:kern w:val="2"/>
      <w:sz w:val="18"/>
      <w:szCs w:val="18"/>
    </w:rPr>
  </w:style>
  <w:style w:type="character" w:customStyle="1" w:styleId="36">
    <w:name w:val="页脚 Char"/>
    <w:basedOn w:val="12"/>
    <w:link w:val="7"/>
    <w:qFormat/>
    <w:uiPriority w:val="0"/>
    <w:rPr>
      <w:rFonts w:asciiTheme="minorHAnsi" w:hAnsiTheme="minorHAnsi" w:eastAsiaTheme="minorEastAsia" w:cstheme="minorBidi"/>
      <w:kern w:val="2"/>
      <w:sz w:val="18"/>
      <w:szCs w:val="18"/>
    </w:rPr>
  </w:style>
  <w:style w:type="paragraph" w:customStyle="1" w:styleId="3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8">
    <w:name w:val="日期 Char"/>
    <w:basedOn w:val="12"/>
    <w:link w:val="6"/>
    <w:qFormat/>
    <w:uiPriority w:val="0"/>
    <w:rPr>
      <w:rFonts w:asciiTheme="minorHAnsi" w:hAnsiTheme="minorHAnsi" w:eastAsiaTheme="minorEastAsia" w:cstheme="minorBidi"/>
      <w:kern w:val="2"/>
      <w:sz w:val="21"/>
      <w:szCs w:val="22"/>
    </w:rPr>
  </w:style>
  <w:style w:type="character" w:customStyle="1" w:styleId="39">
    <w:name w:val="标准文件_段 Char"/>
    <w:link w:val="15"/>
    <w:qFormat/>
    <w:uiPriority w:val="0"/>
    <w:rPr>
      <w:rFonts w:ascii="宋体"/>
      <w:sz w:val="21"/>
    </w:rPr>
  </w:style>
  <w:style w:type="paragraph" w:customStyle="1" w:styleId="40">
    <w:name w:val="标准文件_一级无标题"/>
    <w:basedOn w:val="23"/>
    <w:qFormat/>
    <w:uiPriority w:val="0"/>
    <w:pPr>
      <w:spacing w:beforeLines="0" w:afterLines="0"/>
      <w:outlineLvl w:val="9"/>
    </w:pPr>
    <w:rPr>
      <w:rFonts w:ascii="宋体" w:eastAsia="宋体"/>
    </w:rPr>
  </w:style>
  <w:style w:type="paragraph" w:customStyle="1" w:styleId="41">
    <w:name w:val="标准文件_文件名称"/>
    <w:basedOn w:val="15"/>
    <w:next w:val="15"/>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1554</Words>
  <Characters>1594</Characters>
  <Lines>27</Lines>
  <Paragraphs>7</Paragraphs>
  <TotalTime>2</TotalTime>
  <ScaleCrop>false</ScaleCrop>
  <LinksUpToDate>false</LinksUpToDate>
  <CharactersWithSpaces>1600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静口</cp:lastModifiedBy>
  <dcterms:modified xsi:type="dcterms:W3CDTF">2026-07-07T02:51:11Z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5E81A96D43434088AF0C3E2323AA7DFF_13</vt:lpwstr>
  </property>
  <property fmtid="{D5CDD505-2E9C-101B-9397-08002B2CF9AE}" pid="4" name="KSOTemplateDocerSaveRecord">
    <vt:lpwstr>eyJoZGlkIjoiMmExNjNmZjNiMmM1MjVhOGNmODNlZTQ2N2M0NjM5MzgiLCJ1c2VySWQiOiI0MjIwNzczNTYifQ==</vt:lpwstr>
  </property>
</Properties>
</file>