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D9F1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0D84C46">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849A3AD">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t>2</w:t>
            </w:r>
            <w:r>
              <w:rPr>
                <w:rFonts w:hint="eastAsia" w:ascii="黑体" w:hAnsi="黑体" w:eastAsia="黑体"/>
                <w:sz w:val="21"/>
                <w:szCs w:val="21"/>
                <w:lang w:val="en-US" w:eastAsia="zh-CN"/>
              </w:rPr>
              <w:t>1</w:t>
            </w:r>
            <w:r>
              <w:rPr>
                <w:rFonts w:ascii="黑体" w:hAnsi="黑体" w:eastAsia="黑体"/>
                <w:sz w:val="21"/>
                <w:szCs w:val="21"/>
              </w:rPr>
              <w:t>.</w:t>
            </w:r>
            <w:r>
              <w:rPr>
                <w:rFonts w:hint="eastAsia" w:ascii="黑体" w:hAnsi="黑体" w:eastAsia="黑体"/>
                <w:sz w:val="21"/>
                <w:szCs w:val="21"/>
                <w:lang w:val="en-US" w:eastAsia="zh-CN"/>
              </w:rPr>
              <w:t>22</w:t>
            </w:r>
            <w:r>
              <w:rPr>
                <w:rFonts w:ascii="黑体" w:hAnsi="黑体" w:eastAsia="黑体"/>
                <w:sz w:val="21"/>
                <w:szCs w:val="21"/>
              </w:rPr>
              <w:t>0</w:t>
            </w:r>
            <w:r>
              <w:rPr>
                <w:rFonts w:hint="eastAsia" w:ascii="黑体" w:hAnsi="黑体" w:eastAsia="黑体"/>
                <w:sz w:val="21"/>
                <w:szCs w:val="21"/>
                <w:lang w:val="en-US" w:eastAsia="zh-CN"/>
              </w:rPr>
              <w:t>.3</w:t>
            </w:r>
            <w:r>
              <w:rPr>
                <w:rFonts w:ascii="黑体" w:hAnsi="黑体" w:eastAsia="黑体"/>
                <w:sz w:val="21"/>
                <w:szCs w:val="21"/>
              </w:rPr>
              <w:t>0</w:t>
            </w:r>
          </w:p>
        </w:tc>
      </w:tr>
      <w:tr w14:paraId="4CD9E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129E3CF">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AB4BC5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F3D8716">
                  <w:pPr>
                    <w:pStyle w:val="51"/>
                    <w:framePr w:wrap="notBeside" w:vAnchor="page" w:hAnchor="page" w:x="1372" w:y="568"/>
                    <w:ind w:left="420" w:right="624"/>
                    <w:rPr>
                      <w:rFonts w:ascii="宋体" w:hAnsi="宋体"/>
                      <w:sz w:val="28"/>
                      <w:szCs w:val="28"/>
                    </w:rPr>
                  </w:pPr>
                  <w:r>
                    <w:rPr>
                      <w:sz w:val="21"/>
                      <w:szCs w:val="21"/>
                    </w:rPr>
                    <w:t xml:space="preserve"> </w:t>
                  </w:r>
                </w:p>
              </w:tc>
            </w:tr>
          </w:tbl>
          <w:p w14:paraId="44C46F31">
            <w:pPr>
              <w:pStyle w:val="19"/>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eastAsia="zh-CN"/>
              </w:rPr>
            </w:pPr>
            <w:r>
              <w:rPr>
                <w:rFonts w:ascii="黑体" w:hAnsi="黑体" w:eastAsia="黑体"/>
                <w:sz w:val="21"/>
                <w:szCs w:val="21"/>
              </w:rPr>
              <w:t xml:space="preserve">J </w:t>
            </w:r>
            <w:r>
              <w:rPr>
                <w:rFonts w:hint="eastAsia" w:ascii="黑体" w:hAnsi="黑体" w:eastAsia="黑体"/>
                <w:sz w:val="21"/>
                <w:szCs w:val="21"/>
                <w:lang w:val="en-US" w:eastAsia="zh-CN"/>
              </w:rPr>
              <w:t>81</w:t>
            </w:r>
          </w:p>
        </w:tc>
      </w:tr>
    </w:tbl>
    <w:p w14:paraId="5B32A759">
      <w:pPr>
        <w:pStyle w:val="52"/>
        <w:framePr w:w="9639" w:h="624" w:hRule="exact" w:hSpace="181" w:vSpace="181" w:wrap="around" w:hAnchor="page" w:x="1305" w:y="2269"/>
        <w:rPr>
          <w:rFonts w:ascii="黑体" w:hAnsi="黑体" w:eastAsia="黑体"/>
          <w:b w:val="0"/>
          <w:bCs w:val="0"/>
          <w:w w:val="100"/>
          <w:sz w:val="48"/>
          <w:szCs w:val="48"/>
        </w:rPr>
      </w:pPr>
      <w:bookmarkStart w:id="0"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0"/>
    <w:p w14:paraId="231AA716">
      <w:pPr>
        <w:pStyle w:val="197"/>
        <w:rPr>
          <w:rFonts w:hint="default" w:eastAsia="黑体"/>
          <w:lang w:val="en-US" w:eastAsia="zh-CN"/>
        </w:rPr>
      </w:pPr>
      <w:r>
        <w:t>T/</w:t>
      </w:r>
      <w:r>
        <w:fldChar w:fldCharType="begin">
          <w:ffData>
            <w:name w:val="文字1"/>
            <w:enabled/>
            <w:calcOnExit w:val="0"/>
            <w:textInput>
              <w:default w:val="XXX"/>
            </w:textInput>
          </w:ffData>
        </w:fldChar>
      </w:r>
      <w:bookmarkStart w:id="1" w:name="文字1"/>
      <w:r>
        <w:instrText xml:space="preserve"> FORMTEXT </w:instrText>
      </w:r>
      <w:r>
        <w:fldChar w:fldCharType="separate"/>
      </w:r>
      <w:r>
        <w:t>NXJX</w:t>
      </w:r>
      <w:r>
        <w:fldChar w:fldCharType="end"/>
      </w:r>
      <w:bookmarkEnd w:id="1"/>
      <w:r>
        <w:t xml:space="preserve"> </w:t>
      </w:r>
      <w:r>
        <w:fldChar w:fldCharType="begin">
          <w:ffData>
            <w:name w:val="NSTD_CODE_F"/>
            <w:enabled/>
            <w:calcOnExit w:val="0"/>
            <w:textInput>
              <w:default w:val="XXXX"/>
            </w:textInput>
          </w:ffData>
        </w:fldChar>
      </w:r>
      <w:bookmarkStart w:id="2" w:name="NSTD_CODE_F"/>
      <w:r>
        <w:instrText xml:space="preserve"> FORMTEXT </w:instrText>
      </w:r>
      <w:r>
        <w:fldChar w:fldCharType="separate"/>
      </w:r>
      <w:r>
        <w:t>XXXX</w:t>
      </w:r>
      <w:r>
        <w:fldChar w:fldCharType="end"/>
      </w:r>
      <w:bookmarkEnd w:id="2"/>
      <w:r>
        <w:rPr>
          <w:rFonts w:hAnsi="黑体"/>
        </w:rPr>
        <w:t>—</w:t>
      </w:r>
      <w:r>
        <w:rPr>
          <w:rFonts w:hint="eastAsia"/>
          <w:lang w:val="en-US" w:eastAsia="zh-CN"/>
        </w:rPr>
        <w:t>2026</w:t>
      </w:r>
    </w:p>
    <w:p w14:paraId="59264C22">
      <w:pPr>
        <w:pStyle w:val="198"/>
        <w:rPr>
          <w:rFonts w:hAnsi="黑体"/>
        </w:rPr>
      </w:pPr>
    </w:p>
    <w:p w14:paraId="498D90F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959F561">
      <w:pPr>
        <w:pStyle w:val="52"/>
        <w:framePr w:w="9639" w:h="6976" w:hRule="exact" w:hSpace="0" w:vSpace="0" w:wrap="around" w:hAnchor="page" w:y="6408"/>
        <w:jc w:val="center"/>
        <w:rPr>
          <w:rFonts w:ascii="黑体" w:hAnsi="黑体" w:eastAsia="黑体"/>
          <w:b w:val="0"/>
          <w:bCs w:val="0"/>
          <w:w w:val="100"/>
        </w:rPr>
      </w:pPr>
    </w:p>
    <w:p w14:paraId="48D31AE8">
      <w:pPr>
        <w:pStyle w:val="199"/>
        <w:framePr w:h="6974" w:hRule="exact" w:wrap="around" w:x="1419" w:anchorLock="1"/>
      </w:pPr>
      <w:r>
        <w:rPr>
          <w:rFonts w:hint="eastAsia"/>
        </w:rPr>
        <w:t>矿用高强度圆环链制造工艺规范</w:t>
      </w:r>
    </w:p>
    <w:p w14:paraId="2288FF36">
      <w:pPr>
        <w:framePr w:w="9639" w:h="6974" w:hRule="exact" w:wrap="around" w:vAnchor="page" w:hAnchor="page" w:x="1419" w:y="6408" w:anchorLock="1"/>
        <w:ind w:left="-1418"/>
      </w:pPr>
    </w:p>
    <w:p w14:paraId="7D8232A8">
      <w:pPr>
        <w:pStyle w:val="127"/>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eastAsia="黑体"/>
          <w:szCs w:val="28"/>
        </w:rPr>
      </w:pPr>
      <w:r>
        <w:rPr>
          <w:rFonts w:hint="eastAsia" w:eastAsia="黑体"/>
          <w:szCs w:val="28"/>
        </w:rPr>
        <w:t>Manufacturing process specification for mining high-strength round link chains</w:t>
      </w:r>
    </w:p>
    <w:p w14:paraId="659AFDEC">
      <w:pPr>
        <w:pStyle w:val="127"/>
        <w:framePr w:w="9639" w:h="6974" w:hRule="exact" w:wrap="around" w:vAnchor="page" w:hAnchor="page" w:x="1419" w:y="6408" w:anchorLock="1"/>
        <w:textAlignment w:val="bottom"/>
        <w:rPr>
          <w:rFonts w:eastAsia="黑体"/>
          <w:szCs w:val="28"/>
        </w:rPr>
      </w:pPr>
    </w:p>
    <w:p w14:paraId="758E3BF8">
      <w:pPr>
        <w:pStyle w:val="127"/>
        <w:framePr w:w="9639" w:h="6974" w:hRule="exact" w:wrap="around" w:vAnchor="page" w:hAnchor="page" w:x="1419" w:y="6408" w:anchorLock="1"/>
        <w:jc w:val="both"/>
        <w:textAlignment w:val="bottom"/>
        <w:rPr>
          <w:rFonts w:eastAsia="黑体"/>
          <w:szCs w:val="28"/>
        </w:rPr>
      </w:pPr>
    </w:p>
    <w:p w14:paraId="45C2C2CD">
      <w:pPr>
        <w:framePr w:w="9639" w:h="6974" w:hRule="exact" w:wrap="around" w:vAnchor="page" w:hAnchor="page" w:x="1419" w:y="6408" w:anchorLock="1"/>
        <w:spacing w:line="760" w:lineRule="exact"/>
        <w:ind w:left="-1418"/>
      </w:pPr>
    </w:p>
    <w:p w14:paraId="665E9376">
      <w:pPr>
        <w:pStyle w:val="127"/>
        <w:framePr w:w="9639" w:h="6974" w:hRule="exact" w:wrap="around" w:vAnchor="page" w:hAnchor="page" w:x="1419" w:y="6408" w:anchorLock="1"/>
        <w:textAlignment w:val="bottom"/>
        <w:rPr>
          <w:rFonts w:eastAsia="黑体"/>
          <w:szCs w:val="28"/>
        </w:rPr>
      </w:pPr>
    </w:p>
    <w:p w14:paraId="6CA0C491">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3B7EBD98">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4"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w:t>
      </w:r>
      <w:r>
        <w:rPr>
          <w:rFonts w:hint="eastAsia"/>
          <w:sz w:val="21"/>
          <w:szCs w:val="28"/>
          <w:lang w:val="en-US" w:eastAsia="zh-CN"/>
        </w:rPr>
        <w:t>6</w:t>
      </w:r>
      <w:r>
        <w:rPr>
          <w:rFonts w:hint="eastAsia"/>
          <w:sz w:val="21"/>
          <w:szCs w:val="28"/>
        </w:rPr>
        <w:t>年</w:t>
      </w:r>
      <w:r>
        <w:rPr>
          <w:rFonts w:hint="eastAsia"/>
          <w:sz w:val="21"/>
          <w:szCs w:val="28"/>
          <w:lang w:val="en-US" w:eastAsia="zh-CN"/>
        </w:rPr>
        <w:t>5</w:t>
      </w:r>
      <w:r>
        <w:rPr>
          <w:rFonts w:hint="eastAsia"/>
          <w:sz w:val="21"/>
          <w:szCs w:val="28"/>
        </w:rPr>
        <w:t>月）</w:t>
      </w:r>
      <w:r>
        <w:rPr>
          <w:sz w:val="21"/>
          <w:szCs w:val="28"/>
        </w:rPr>
        <w:fldChar w:fldCharType="end"/>
      </w:r>
      <w:bookmarkEnd w:id="4"/>
    </w:p>
    <w:p w14:paraId="63E98374">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5" w:name="下拉2"/>
      <w:r>
        <w:rPr>
          <w:b/>
          <w:sz w:val="21"/>
          <w:szCs w:val="28"/>
        </w:rPr>
        <w:instrText xml:space="preserve"> FORMDROPDOWN </w:instrText>
      </w:r>
      <w:r>
        <w:rPr>
          <w:b/>
          <w:sz w:val="21"/>
          <w:szCs w:val="28"/>
        </w:rPr>
        <w:fldChar w:fldCharType="separate"/>
      </w:r>
      <w:r>
        <w:rPr>
          <w:b/>
          <w:sz w:val="21"/>
          <w:szCs w:val="28"/>
        </w:rPr>
        <w:fldChar w:fldCharType="end"/>
      </w:r>
      <w:bookmarkEnd w:id="5"/>
    </w:p>
    <w:p w14:paraId="34EB4F9F">
      <w:pPr>
        <w:pStyle w:val="195"/>
        <w:framePr w:wrap="around" w:y="14176"/>
      </w:pPr>
      <w:r>
        <w:rPr>
          <w:rFonts w:hint="eastAsia"/>
          <w:lang w:val="en-US" w:eastAsia="zh-CN"/>
        </w:rPr>
        <w:t>2026</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14:paraId="181C2F1A">
      <w:pPr>
        <w:pStyle w:val="196"/>
        <w:framePr w:wrap="around" w:y="14176"/>
      </w:pPr>
      <w:r>
        <w:rPr>
          <w:rFonts w:hint="eastAsia" w:ascii="黑体"/>
          <w:lang w:val="en-US" w:eastAsia="zh-CN"/>
        </w:rPr>
        <w:t>2026</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实施</w:t>
      </w:r>
    </w:p>
    <w:p w14:paraId="77C1EE0D">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宁夏机械工程学会</w:t>
      </w:r>
      <w:r>
        <w:rPr>
          <w:rFonts w:hAnsi="黑体"/>
          <w:w w:val="100"/>
          <w:sz w:val="28"/>
        </w:rPr>
        <w:fldChar w:fldCharType="end"/>
      </w:r>
      <w:bookmarkEnd w:id="1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54CC6F6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6856443">
      <w:pPr>
        <w:pStyle w:val="93"/>
        <w:bidi w:val="0"/>
        <w:rPr>
          <w:rFonts w:hint="eastAsia"/>
          <w:lang w:eastAsia="zh-CN"/>
        </w:rPr>
      </w:pPr>
      <w:bookmarkStart w:id="11" w:name="BookMark1"/>
      <w:bookmarkStart w:id="12" w:name="_Toc200883708"/>
      <w:bookmarkStart w:id="13" w:name="_Toc212714353"/>
      <w:bookmarkStart w:id="14" w:name="_Toc7956"/>
      <w:bookmarkStart w:id="15" w:name="_Toc200883625"/>
      <w:bookmarkStart w:id="16" w:name="_Toc201732800"/>
      <w:bookmarkStart w:id="17" w:name="_Toc212714320"/>
      <w:r>
        <w:rPr>
          <w:rFonts w:hint="eastAsia"/>
          <w:spacing w:val="320"/>
          <w:lang w:eastAsia="zh-CN"/>
        </w:rPr>
        <w:t>目</w:t>
      </w:r>
      <w:r>
        <w:rPr>
          <w:rFonts w:hint="eastAsia"/>
          <w:lang w:eastAsia="zh-CN"/>
        </w:rPr>
        <w:t>次</w:t>
      </w:r>
    </w:p>
    <w:p w14:paraId="2BFE2330">
      <w:pPr>
        <w:pStyle w:val="20"/>
        <w:tabs>
          <w:tab w:val="right" w:leader="dot" w:pos="9354"/>
        </w:tabs>
      </w:pPr>
      <w:r>
        <w:rPr>
          <w:rFonts w:hint="eastAsia"/>
          <w:spacing w:val="0"/>
          <w:lang w:eastAsia="zh-CN"/>
        </w:rPr>
        <w:fldChar w:fldCharType="begin"/>
      </w:r>
      <w:r>
        <w:rPr>
          <w:rFonts w:hint="eastAsia"/>
          <w:spacing w:val="0"/>
          <w:lang w:eastAsia="zh-CN"/>
        </w:rPr>
        <w:instrText xml:space="preserve">TOC \o "1-1" \t "标准文件_一级条标题,2,标准文件_二级条标题,3,标准文件_三级条标题,4,标准文件_附录一级条标题,2,标准文件_附录二级条标题,3,标准文件_附录三级条标题,4,"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_Toc8534 </w:instrText>
      </w:r>
      <w:r>
        <w:rPr>
          <w:rFonts w:hint="eastAsia"/>
          <w:spacing w:val="0"/>
          <w:lang w:eastAsia="zh-CN"/>
        </w:rPr>
        <w:fldChar w:fldCharType="separate"/>
      </w:r>
      <w:r>
        <w:rPr>
          <w:spacing w:val="320"/>
        </w:rPr>
        <w:t>前</w:t>
      </w:r>
      <w:r>
        <w:t>言</w:t>
      </w:r>
      <w:r>
        <w:tab/>
      </w:r>
      <w:r>
        <w:fldChar w:fldCharType="begin"/>
      </w:r>
      <w:r>
        <w:instrText xml:space="preserve"> PAGEREF _Toc8534 \h </w:instrText>
      </w:r>
      <w:r>
        <w:fldChar w:fldCharType="separate"/>
      </w:r>
      <w:r>
        <w:t>II</w:t>
      </w:r>
      <w:r>
        <w:fldChar w:fldCharType="end"/>
      </w:r>
      <w:r>
        <w:rPr>
          <w:rFonts w:hint="eastAsia"/>
          <w:spacing w:val="0"/>
          <w:lang w:eastAsia="zh-CN"/>
        </w:rPr>
        <w:fldChar w:fldCharType="end"/>
      </w:r>
    </w:p>
    <w:p w14:paraId="1D8BAE29">
      <w:pPr>
        <w:pStyle w:val="20"/>
        <w:tabs>
          <w:tab w:val="right" w:leader="dot" w:pos="9354"/>
        </w:tabs>
      </w:pPr>
      <w:r>
        <w:rPr>
          <w:rFonts w:hint="eastAsia"/>
          <w:spacing w:val="0"/>
          <w:lang w:eastAsia="zh-CN"/>
        </w:rPr>
        <w:fldChar w:fldCharType="begin"/>
      </w:r>
      <w:r>
        <w:rPr>
          <w:rFonts w:hint="eastAsia"/>
          <w:spacing w:val="0"/>
          <w:lang w:eastAsia="zh-CN"/>
        </w:rPr>
        <w:instrText xml:space="preserve"> HYPERLINK \l _Toc4421 </w:instrText>
      </w:r>
      <w:r>
        <w:rPr>
          <w:rFonts w:hint="eastAsia"/>
          <w:spacing w:val="0"/>
          <w:lang w:eastAsia="zh-CN"/>
        </w:rPr>
        <w:fldChar w:fldCharType="separate"/>
      </w:r>
      <w:r>
        <w:rPr>
          <w:rFonts w:hint="eastAsia" w:ascii="黑体" w:eastAsia="黑体"/>
          <w:i w:val="0"/>
        </w:rPr>
        <w:t xml:space="preserve">1 </w:t>
      </w:r>
      <w:r>
        <w:rPr>
          <w:rFonts w:hint="eastAsia"/>
        </w:rPr>
        <w:t>范围</w:t>
      </w:r>
      <w:r>
        <w:tab/>
      </w:r>
      <w:r>
        <w:fldChar w:fldCharType="begin"/>
      </w:r>
      <w:r>
        <w:instrText xml:space="preserve"> PAGEREF _Toc4421 \h </w:instrText>
      </w:r>
      <w:r>
        <w:fldChar w:fldCharType="separate"/>
      </w:r>
      <w:r>
        <w:t>3</w:t>
      </w:r>
      <w:r>
        <w:fldChar w:fldCharType="end"/>
      </w:r>
      <w:r>
        <w:rPr>
          <w:rFonts w:hint="eastAsia"/>
          <w:spacing w:val="0"/>
          <w:lang w:eastAsia="zh-CN"/>
        </w:rPr>
        <w:fldChar w:fldCharType="end"/>
      </w:r>
    </w:p>
    <w:p w14:paraId="7F97025E">
      <w:pPr>
        <w:pStyle w:val="20"/>
        <w:tabs>
          <w:tab w:val="right" w:leader="dot" w:pos="9354"/>
        </w:tabs>
      </w:pPr>
      <w:r>
        <w:rPr>
          <w:rFonts w:hint="eastAsia"/>
          <w:spacing w:val="0"/>
          <w:lang w:eastAsia="zh-CN"/>
        </w:rPr>
        <w:fldChar w:fldCharType="begin"/>
      </w:r>
      <w:r>
        <w:rPr>
          <w:rFonts w:hint="eastAsia"/>
          <w:spacing w:val="0"/>
          <w:lang w:eastAsia="zh-CN"/>
        </w:rPr>
        <w:instrText xml:space="preserve"> HYPERLINK \l _Toc6320 </w:instrText>
      </w:r>
      <w:r>
        <w:rPr>
          <w:rFonts w:hint="eastAsia"/>
          <w:spacing w:val="0"/>
          <w:lang w:eastAsia="zh-CN"/>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_Toc6320 \h </w:instrText>
      </w:r>
      <w:r>
        <w:fldChar w:fldCharType="separate"/>
      </w:r>
      <w:r>
        <w:t>3</w:t>
      </w:r>
      <w:r>
        <w:fldChar w:fldCharType="end"/>
      </w:r>
      <w:r>
        <w:rPr>
          <w:rFonts w:hint="eastAsia"/>
          <w:spacing w:val="0"/>
          <w:lang w:eastAsia="zh-CN"/>
        </w:rPr>
        <w:fldChar w:fldCharType="end"/>
      </w:r>
    </w:p>
    <w:p w14:paraId="483F7469">
      <w:pPr>
        <w:pStyle w:val="20"/>
        <w:tabs>
          <w:tab w:val="right" w:leader="dot" w:pos="9354"/>
        </w:tabs>
      </w:pPr>
      <w:r>
        <w:rPr>
          <w:rFonts w:hint="eastAsia"/>
          <w:spacing w:val="0"/>
          <w:lang w:eastAsia="zh-CN"/>
        </w:rPr>
        <w:fldChar w:fldCharType="begin"/>
      </w:r>
      <w:r>
        <w:rPr>
          <w:rFonts w:hint="eastAsia"/>
          <w:spacing w:val="0"/>
          <w:lang w:eastAsia="zh-CN"/>
        </w:rPr>
        <w:instrText xml:space="preserve"> HYPERLINK \l _Toc29109 </w:instrText>
      </w:r>
      <w:r>
        <w:rPr>
          <w:rFonts w:hint="eastAsia"/>
          <w:spacing w:val="0"/>
          <w:lang w:eastAsia="zh-CN"/>
        </w:rP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_Toc29109 \h </w:instrText>
      </w:r>
      <w:r>
        <w:fldChar w:fldCharType="separate"/>
      </w:r>
      <w:r>
        <w:t>3</w:t>
      </w:r>
      <w:r>
        <w:fldChar w:fldCharType="end"/>
      </w:r>
      <w:r>
        <w:rPr>
          <w:rFonts w:hint="eastAsia"/>
          <w:spacing w:val="0"/>
          <w:lang w:eastAsia="zh-CN"/>
        </w:rPr>
        <w:fldChar w:fldCharType="end"/>
      </w:r>
    </w:p>
    <w:p w14:paraId="6D17A69B">
      <w:pPr>
        <w:pStyle w:val="20"/>
        <w:tabs>
          <w:tab w:val="right" w:leader="dot" w:pos="9354"/>
        </w:tabs>
      </w:pPr>
      <w:r>
        <w:rPr>
          <w:rFonts w:hint="eastAsia"/>
          <w:spacing w:val="0"/>
          <w:lang w:eastAsia="zh-CN"/>
        </w:rPr>
        <w:fldChar w:fldCharType="begin"/>
      </w:r>
      <w:r>
        <w:rPr>
          <w:rFonts w:hint="eastAsia"/>
          <w:spacing w:val="0"/>
          <w:lang w:eastAsia="zh-CN"/>
        </w:rPr>
        <w:instrText xml:space="preserve"> HYPERLINK \l _Toc31235 </w:instrText>
      </w:r>
      <w:r>
        <w:rPr>
          <w:rFonts w:hint="eastAsia"/>
          <w:spacing w:val="0"/>
          <w:lang w:eastAsia="zh-CN"/>
        </w:rPr>
        <w:fldChar w:fldCharType="separate"/>
      </w:r>
      <w:r>
        <w:rPr>
          <w:rFonts w:hint="eastAsia" w:ascii="黑体" w:eastAsia="黑体"/>
          <w:i w:val="0"/>
        </w:rPr>
        <w:t xml:space="preserve">4 </w:t>
      </w:r>
      <w:r>
        <w:rPr>
          <w:rFonts w:hint="eastAsia"/>
          <w:lang w:val="en-US" w:eastAsia="zh-CN"/>
        </w:rPr>
        <w:t>制造准备</w:t>
      </w:r>
      <w:r>
        <w:tab/>
      </w:r>
      <w:r>
        <w:fldChar w:fldCharType="begin"/>
      </w:r>
      <w:r>
        <w:instrText xml:space="preserve"> PAGEREF _Toc31235 \h </w:instrText>
      </w:r>
      <w:r>
        <w:fldChar w:fldCharType="separate"/>
      </w:r>
      <w:r>
        <w:t>4</w:t>
      </w:r>
      <w:r>
        <w:fldChar w:fldCharType="end"/>
      </w:r>
      <w:r>
        <w:rPr>
          <w:rFonts w:hint="eastAsia"/>
          <w:spacing w:val="0"/>
          <w:lang w:eastAsia="zh-CN"/>
        </w:rPr>
        <w:fldChar w:fldCharType="end"/>
      </w:r>
    </w:p>
    <w:p w14:paraId="41D7D7B0">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_Toc17270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rPr>
        <w:t>人员</w:t>
      </w:r>
      <w:r>
        <w:tab/>
      </w:r>
      <w:r>
        <w:fldChar w:fldCharType="begin"/>
      </w:r>
      <w:r>
        <w:instrText xml:space="preserve"> PAGEREF _Toc17270 \h </w:instrText>
      </w:r>
      <w:r>
        <w:fldChar w:fldCharType="separate"/>
      </w:r>
      <w:r>
        <w:t>4</w:t>
      </w:r>
      <w:r>
        <w:fldChar w:fldCharType="end"/>
      </w:r>
      <w:r>
        <w:rPr>
          <w:rFonts w:hint="eastAsia"/>
          <w:spacing w:val="0"/>
          <w:lang w:eastAsia="zh-CN"/>
        </w:rPr>
        <w:fldChar w:fldCharType="end"/>
      </w:r>
    </w:p>
    <w:p w14:paraId="2F6F0886">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_Toc10939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rPr>
        <w:t>设备及工装</w:t>
      </w:r>
      <w:r>
        <w:tab/>
      </w:r>
      <w:r>
        <w:fldChar w:fldCharType="begin"/>
      </w:r>
      <w:r>
        <w:instrText xml:space="preserve"> PAGEREF _Toc10939 \h </w:instrText>
      </w:r>
      <w:r>
        <w:fldChar w:fldCharType="separate"/>
      </w:r>
      <w:r>
        <w:t>4</w:t>
      </w:r>
      <w:r>
        <w:fldChar w:fldCharType="end"/>
      </w:r>
      <w:r>
        <w:rPr>
          <w:rFonts w:hint="eastAsia"/>
          <w:spacing w:val="0"/>
          <w:lang w:eastAsia="zh-CN"/>
        </w:rPr>
        <w:fldChar w:fldCharType="end"/>
      </w:r>
    </w:p>
    <w:p w14:paraId="3FD41B7D">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_Toc10751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rPr>
        <w:t>原材料</w:t>
      </w:r>
      <w:r>
        <w:tab/>
      </w:r>
      <w:r>
        <w:fldChar w:fldCharType="begin"/>
      </w:r>
      <w:r>
        <w:instrText xml:space="preserve"> PAGEREF _Toc10751 \h </w:instrText>
      </w:r>
      <w:r>
        <w:fldChar w:fldCharType="separate"/>
      </w:r>
      <w:r>
        <w:t>4</w:t>
      </w:r>
      <w:r>
        <w:fldChar w:fldCharType="end"/>
      </w:r>
      <w:r>
        <w:rPr>
          <w:rFonts w:hint="eastAsia"/>
          <w:spacing w:val="0"/>
          <w:lang w:eastAsia="zh-CN"/>
        </w:rPr>
        <w:fldChar w:fldCharType="end"/>
      </w:r>
    </w:p>
    <w:p w14:paraId="27ACADB0">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_Toc19755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rPr>
          <w:rFonts w:hint="eastAsia"/>
        </w:rPr>
        <w:t>工作场地</w:t>
      </w:r>
      <w:r>
        <w:rPr>
          <w:rFonts w:hint="eastAsia"/>
          <w:lang w:val="en-US" w:eastAsia="zh-CN"/>
        </w:rPr>
        <w:t>及环境</w:t>
      </w:r>
      <w:r>
        <w:tab/>
      </w:r>
      <w:r>
        <w:fldChar w:fldCharType="begin"/>
      </w:r>
      <w:r>
        <w:instrText xml:space="preserve"> PAGEREF _Toc19755 \h </w:instrText>
      </w:r>
      <w:r>
        <w:fldChar w:fldCharType="separate"/>
      </w:r>
      <w:r>
        <w:t>4</w:t>
      </w:r>
      <w:r>
        <w:fldChar w:fldCharType="end"/>
      </w:r>
      <w:r>
        <w:rPr>
          <w:rFonts w:hint="eastAsia"/>
          <w:spacing w:val="0"/>
          <w:lang w:eastAsia="zh-CN"/>
        </w:rPr>
        <w:fldChar w:fldCharType="end"/>
      </w:r>
    </w:p>
    <w:p w14:paraId="7BA54E0F">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_Toc44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4.5 </w:t>
      </w:r>
      <w:r>
        <w:rPr>
          <w:rFonts w:hint="eastAsia"/>
        </w:rPr>
        <w:t>安全</w:t>
      </w:r>
      <w:r>
        <w:rPr>
          <w:rFonts w:hint="eastAsia"/>
          <w:lang w:val="en-US" w:eastAsia="zh-CN"/>
        </w:rPr>
        <w:t>注意</w:t>
      </w:r>
      <w:r>
        <w:rPr>
          <w:rFonts w:hint="eastAsia"/>
        </w:rPr>
        <w:t>事项</w:t>
      </w:r>
      <w:r>
        <w:tab/>
      </w:r>
      <w:r>
        <w:fldChar w:fldCharType="begin"/>
      </w:r>
      <w:r>
        <w:instrText xml:space="preserve"> PAGEREF _Toc44 \h </w:instrText>
      </w:r>
      <w:r>
        <w:fldChar w:fldCharType="separate"/>
      </w:r>
      <w:r>
        <w:t>4</w:t>
      </w:r>
      <w:r>
        <w:fldChar w:fldCharType="end"/>
      </w:r>
      <w:r>
        <w:rPr>
          <w:rFonts w:hint="eastAsia"/>
          <w:spacing w:val="0"/>
          <w:lang w:eastAsia="zh-CN"/>
        </w:rPr>
        <w:fldChar w:fldCharType="end"/>
      </w:r>
    </w:p>
    <w:p w14:paraId="0B234652">
      <w:pPr>
        <w:pStyle w:val="20"/>
        <w:tabs>
          <w:tab w:val="right" w:leader="dot" w:pos="9354"/>
        </w:tabs>
      </w:pPr>
      <w:r>
        <w:rPr>
          <w:rFonts w:hint="eastAsia"/>
          <w:spacing w:val="0"/>
          <w:lang w:eastAsia="zh-CN"/>
        </w:rPr>
        <w:fldChar w:fldCharType="begin"/>
      </w:r>
      <w:r>
        <w:rPr>
          <w:rFonts w:hint="eastAsia"/>
          <w:spacing w:val="0"/>
          <w:lang w:eastAsia="zh-CN"/>
        </w:rPr>
        <w:instrText xml:space="preserve"> HYPERLINK \l _Toc21325 </w:instrText>
      </w:r>
      <w:r>
        <w:rPr>
          <w:rFonts w:hint="eastAsia"/>
          <w:spacing w:val="0"/>
          <w:lang w:eastAsia="zh-CN"/>
        </w:rPr>
        <w:fldChar w:fldCharType="separate"/>
      </w:r>
      <w:r>
        <w:rPr>
          <w:rFonts w:hint="eastAsia" w:ascii="黑体" w:eastAsia="黑体"/>
          <w:i w:val="0"/>
        </w:rPr>
        <w:t xml:space="preserve">5 </w:t>
      </w:r>
      <w:r>
        <w:rPr>
          <w:rFonts w:hint="eastAsia"/>
        </w:rPr>
        <w:t>制造工艺技术要求</w:t>
      </w:r>
      <w:r>
        <w:tab/>
      </w:r>
      <w:r>
        <w:fldChar w:fldCharType="begin"/>
      </w:r>
      <w:r>
        <w:instrText xml:space="preserve"> PAGEREF _Toc21325 \h </w:instrText>
      </w:r>
      <w:r>
        <w:fldChar w:fldCharType="separate"/>
      </w:r>
      <w:r>
        <w:t>4</w:t>
      </w:r>
      <w:r>
        <w:fldChar w:fldCharType="end"/>
      </w:r>
      <w:r>
        <w:rPr>
          <w:rFonts w:hint="eastAsia"/>
          <w:spacing w:val="0"/>
          <w:lang w:eastAsia="zh-CN"/>
        </w:rPr>
        <w:fldChar w:fldCharType="end"/>
      </w:r>
    </w:p>
    <w:p w14:paraId="107E0DEF">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_Toc4211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rPr>
        <w:t>工艺流程</w:t>
      </w:r>
      <w:r>
        <w:tab/>
      </w:r>
      <w:r>
        <w:fldChar w:fldCharType="begin"/>
      </w:r>
      <w:r>
        <w:instrText xml:space="preserve"> PAGEREF _Toc4211 \h </w:instrText>
      </w:r>
      <w:r>
        <w:fldChar w:fldCharType="separate"/>
      </w:r>
      <w:r>
        <w:t>4</w:t>
      </w:r>
      <w:r>
        <w:fldChar w:fldCharType="end"/>
      </w:r>
      <w:r>
        <w:rPr>
          <w:rFonts w:hint="eastAsia"/>
          <w:spacing w:val="0"/>
          <w:lang w:eastAsia="zh-CN"/>
        </w:rPr>
        <w:fldChar w:fldCharType="end"/>
      </w:r>
    </w:p>
    <w:p w14:paraId="786989A2">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_Toc1169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rPr>
        <w:t>下料</w:t>
      </w:r>
      <w:r>
        <w:tab/>
      </w:r>
      <w:r>
        <w:fldChar w:fldCharType="begin"/>
      </w:r>
      <w:r>
        <w:instrText xml:space="preserve"> PAGEREF _Toc1169 \h </w:instrText>
      </w:r>
      <w:r>
        <w:fldChar w:fldCharType="separate"/>
      </w:r>
      <w:r>
        <w:t>4</w:t>
      </w:r>
      <w:r>
        <w:fldChar w:fldCharType="end"/>
      </w:r>
      <w:r>
        <w:rPr>
          <w:rFonts w:hint="eastAsia"/>
          <w:spacing w:val="0"/>
          <w:lang w:eastAsia="zh-CN"/>
        </w:rPr>
        <w:fldChar w:fldCharType="end"/>
      </w:r>
    </w:p>
    <w:p w14:paraId="000B95D4">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_Toc30706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lang w:val="en-US" w:eastAsia="zh-CN"/>
        </w:rPr>
        <w:t>除锈</w:t>
      </w:r>
      <w:r>
        <w:tab/>
      </w:r>
      <w:r>
        <w:fldChar w:fldCharType="begin"/>
      </w:r>
      <w:r>
        <w:instrText xml:space="preserve"> PAGEREF _Toc30706 \h </w:instrText>
      </w:r>
      <w:r>
        <w:fldChar w:fldCharType="separate"/>
      </w:r>
      <w:r>
        <w:t>5</w:t>
      </w:r>
      <w:r>
        <w:fldChar w:fldCharType="end"/>
      </w:r>
      <w:r>
        <w:rPr>
          <w:rFonts w:hint="eastAsia"/>
          <w:spacing w:val="0"/>
          <w:lang w:eastAsia="zh-CN"/>
        </w:rPr>
        <w:fldChar w:fldCharType="end"/>
      </w:r>
    </w:p>
    <w:p w14:paraId="074E4D59">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_Toc30545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rPr>
        <w:t>加热</w:t>
      </w:r>
      <w:r>
        <w:tab/>
      </w:r>
      <w:r>
        <w:fldChar w:fldCharType="begin"/>
      </w:r>
      <w:r>
        <w:instrText xml:space="preserve"> PAGEREF _Toc30545 \h </w:instrText>
      </w:r>
      <w:r>
        <w:fldChar w:fldCharType="separate"/>
      </w:r>
      <w:r>
        <w:t>5</w:t>
      </w:r>
      <w:r>
        <w:fldChar w:fldCharType="end"/>
      </w:r>
      <w:r>
        <w:rPr>
          <w:rFonts w:hint="eastAsia"/>
          <w:spacing w:val="0"/>
          <w:lang w:eastAsia="zh-CN"/>
        </w:rPr>
        <w:fldChar w:fldCharType="end"/>
      </w:r>
    </w:p>
    <w:p w14:paraId="66BCA35E">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_Toc21154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5.5 </w:t>
      </w:r>
      <w:r>
        <w:rPr>
          <w:rFonts w:hint="eastAsia"/>
        </w:rPr>
        <w:t>编链</w:t>
      </w:r>
      <w:r>
        <w:tab/>
      </w:r>
      <w:r>
        <w:fldChar w:fldCharType="begin"/>
      </w:r>
      <w:r>
        <w:instrText xml:space="preserve"> PAGEREF _Toc21154 \h </w:instrText>
      </w:r>
      <w:r>
        <w:fldChar w:fldCharType="separate"/>
      </w:r>
      <w:r>
        <w:t>5</w:t>
      </w:r>
      <w:r>
        <w:fldChar w:fldCharType="end"/>
      </w:r>
      <w:r>
        <w:rPr>
          <w:rFonts w:hint="eastAsia"/>
          <w:spacing w:val="0"/>
          <w:lang w:eastAsia="zh-CN"/>
        </w:rPr>
        <w:fldChar w:fldCharType="end"/>
      </w:r>
    </w:p>
    <w:p w14:paraId="76546768">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_Toc17046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5.6 </w:t>
      </w:r>
      <w:r>
        <w:rPr>
          <w:rFonts w:hint="eastAsia"/>
        </w:rPr>
        <w:t>焊接</w:t>
      </w:r>
      <w:r>
        <w:tab/>
      </w:r>
      <w:r>
        <w:fldChar w:fldCharType="begin"/>
      </w:r>
      <w:r>
        <w:instrText xml:space="preserve"> PAGEREF _Toc17046 \h </w:instrText>
      </w:r>
      <w:r>
        <w:fldChar w:fldCharType="separate"/>
      </w:r>
      <w:r>
        <w:t>5</w:t>
      </w:r>
      <w:r>
        <w:fldChar w:fldCharType="end"/>
      </w:r>
      <w:r>
        <w:rPr>
          <w:rFonts w:hint="eastAsia"/>
          <w:spacing w:val="0"/>
          <w:lang w:eastAsia="zh-CN"/>
        </w:rPr>
        <w:fldChar w:fldCharType="end"/>
      </w:r>
    </w:p>
    <w:p w14:paraId="686DB94E">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_Toc629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5.7 </w:t>
      </w:r>
      <w:r>
        <w:rPr>
          <w:rFonts w:hint="eastAsia"/>
          <w:highlight w:val="none"/>
        </w:rPr>
        <w:t>去刺</w:t>
      </w:r>
      <w:r>
        <w:tab/>
      </w:r>
      <w:r>
        <w:fldChar w:fldCharType="begin"/>
      </w:r>
      <w:r>
        <w:instrText xml:space="preserve"> PAGEREF _Toc629 \h </w:instrText>
      </w:r>
      <w:r>
        <w:fldChar w:fldCharType="separate"/>
      </w:r>
      <w:r>
        <w:t>5</w:t>
      </w:r>
      <w:r>
        <w:fldChar w:fldCharType="end"/>
      </w:r>
      <w:r>
        <w:rPr>
          <w:rFonts w:hint="eastAsia"/>
          <w:spacing w:val="0"/>
          <w:lang w:eastAsia="zh-CN"/>
        </w:rPr>
        <w:fldChar w:fldCharType="end"/>
      </w:r>
    </w:p>
    <w:p w14:paraId="1640D0F1">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_Toc4948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5.8 </w:t>
      </w:r>
      <w:r>
        <w:rPr>
          <w:rFonts w:hint="eastAsia"/>
        </w:rPr>
        <w:t>热处理</w:t>
      </w:r>
      <w:r>
        <w:tab/>
      </w:r>
      <w:r>
        <w:fldChar w:fldCharType="begin"/>
      </w:r>
      <w:r>
        <w:instrText xml:space="preserve"> PAGEREF _Toc4948 \h </w:instrText>
      </w:r>
      <w:r>
        <w:fldChar w:fldCharType="separate"/>
      </w:r>
      <w:r>
        <w:t>5</w:t>
      </w:r>
      <w:r>
        <w:fldChar w:fldCharType="end"/>
      </w:r>
      <w:r>
        <w:rPr>
          <w:rFonts w:hint="eastAsia"/>
          <w:spacing w:val="0"/>
          <w:lang w:eastAsia="zh-CN"/>
        </w:rPr>
        <w:fldChar w:fldCharType="end"/>
      </w:r>
    </w:p>
    <w:p w14:paraId="0CE0C5CE">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_Toc12339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5.9 </w:t>
      </w:r>
      <w:r>
        <w:rPr>
          <w:rFonts w:hint="eastAsia"/>
          <w:lang w:val="en-US" w:eastAsia="zh-CN"/>
        </w:rPr>
        <w:t>预拉伸</w:t>
      </w:r>
      <w:r>
        <w:tab/>
      </w:r>
      <w:r>
        <w:fldChar w:fldCharType="begin"/>
      </w:r>
      <w:r>
        <w:instrText xml:space="preserve"> PAGEREF _Toc12339 \h </w:instrText>
      </w:r>
      <w:r>
        <w:fldChar w:fldCharType="separate"/>
      </w:r>
      <w:r>
        <w:t>5</w:t>
      </w:r>
      <w:r>
        <w:fldChar w:fldCharType="end"/>
      </w:r>
      <w:r>
        <w:rPr>
          <w:rFonts w:hint="eastAsia"/>
          <w:spacing w:val="0"/>
          <w:lang w:eastAsia="zh-CN"/>
        </w:rPr>
        <w:fldChar w:fldCharType="end"/>
      </w:r>
    </w:p>
    <w:p w14:paraId="75C93111">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_Toc26703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5.10 </w:t>
      </w:r>
      <w:r>
        <w:rPr>
          <w:rFonts w:hint="eastAsia"/>
          <w:lang w:val="en-US" w:eastAsia="zh-CN"/>
        </w:rPr>
        <w:t>测配</w:t>
      </w:r>
      <w:r>
        <w:tab/>
      </w:r>
      <w:r>
        <w:fldChar w:fldCharType="begin"/>
      </w:r>
      <w:r>
        <w:instrText xml:space="preserve"> PAGEREF _Toc26703 \h </w:instrText>
      </w:r>
      <w:r>
        <w:fldChar w:fldCharType="separate"/>
      </w:r>
      <w:r>
        <w:t>6</w:t>
      </w:r>
      <w:r>
        <w:fldChar w:fldCharType="end"/>
      </w:r>
      <w:r>
        <w:rPr>
          <w:rFonts w:hint="eastAsia"/>
          <w:spacing w:val="0"/>
          <w:lang w:eastAsia="zh-CN"/>
        </w:rPr>
        <w:fldChar w:fldCharType="end"/>
      </w:r>
    </w:p>
    <w:p w14:paraId="7BEAD26E">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_Toc23619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5.11 </w:t>
      </w:r>
      <w:r>
        <w:rPr>
          <w:rFonts w:hint="eastAsia"/>
          <w:lang w:val="en-US" w:eastAsia="zh-CN"/>
        </w:rPr>
        <w:t>防锈处理</w:t>
      </w:r>
      <w:r>
        <w:tab/>
      </w:r>
      <w:r>
        <w:fldChar w:fldCharType="begin"/>
      </w:r>
      <w:r>
        <w:instrText xml:space="preserve"> PAGEREF _Toc23619 \h </w:instrText>
      </w:r>
      <w:r>
        <w:fldChar w:fldCharType="separate"/>
      </w:r>
      <w:r>
        <w:t>6</w:t>
      </w:r>
      <w:r>
        <w:fldChar w:fldCharType="end"/>
      </w:r>
      <w:r>
        <w:rPr>
          <w:rFonts w:hint="eastAsia"/>
          <w:spacing w:val="0"/>
          <w:lang w:eastAsia="zh-CN"/>
        </w:rPr>
        <w:fldChar w:fldCharType="end"/>
      </w:r>
    </w:p>
    <w:p w14:paraId="1B49807C">
      <w:pPr>
        <w:pStyle w:val="20"/>
        <w:tabs>
          <w:tab w:val="right" w:leader="dot" w:pos="9354"/>
        </w:tabs>
      </w:pPr>
      <w:r>
        <w:rPr>
          <w:rFonts w:hint="eastAsia"/>
          <w:spacing w:val="0"/>
          <w:lang w:eastAsia="zh-CN"/>
        </w:rPr>
        <w:fldChar w:fldCharType="begin"/>
      </w:r>
      <w:r>
        <w:rPr>
          <w:rFonts w:hint="eastAsia"/>
          <w:spacing w:val="0"/>
          <w:lang w:eastAsia="zh-CN"/>
        </w:rPr>
        <w:instrText xml:space="preserve"> HYPERLINK \l _Toc4667 </w:instrText>
      </w:r>
      <w:r>
        <w:rPr>
          <w:rFonts w:hint="eastAsia"/>
          <w:spacing w:val="0"/>
          <w:lang w:eastAsia="zh-CN"/>
        </w:rPr>
        <w:fldChar w:fldCharType="separate"/>
      </w:r>
      <w:r>
        <w:rPr>
          <w:rFonts w:hint="eastAsia" w:ascii="黑体" w:eastAsia="黑体"/>
          <w:i w:val="0"/>
        </w:rPr>
        <w:t xml:space="preserve">6 </w:t>
      </w:r>
      <w:r>
        <w:rPr>
          <w:rFonts w:hint="eastAsia"/>
        </w:rPr>
        <w:t>检验检测要求</w:t>
      </w:r>
      <w:r>
        <w:tab/>
      </w:r>
      <w:r>
        <w:fldChar w:fldCharType="begin"/>
      </w:r>
      <w:r>
        <w:instrText xml:space="preserve"> PAGEREF _Toc4667 \h </w:instrText>
      </w:r>
      <w:r>
        <w:fldChar w:fldCharType="separate"/>
      </w:r>
      <w:r>
        <w:t>6</w:t>
      </w:r>
      <w:r>
        <w:fldChar w:fldCharType="end"/>
      </w:r>
      <w:r>
        <w:rPr>
          <w:rFonts w:hint="eastAsia"/>
          <w:spacing w:val="0"/>
          <w:lang w:eastAsia="zh-CN"/>
        </w:rPr>
        <w:fldChar w:fldCharType="end"/>
      </w:r>
    </w:p>
    <w:p w14:paraId="75ACE5D8">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_Toc18125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rPr>
        <w:t>外观检验要求</w:t>
      </w:r>
      <w:r>
        <w:tab/>
      </w:r>
      <w:r>
        <w:fldChar w:fldCharType="begin"/>
      </w:r>
      <w:r>
        <w:instrText xml:space="preserve"> PAGEREF _Toc18125 \h </w:instrText>
      </w:r>
      <w:r>
        <w:fldChar w:fldCharType="separate"/>
      </w:r>
      <w:r>
        <w:t>6</w:t>
      </w:r>
      <w:r>
        <w:fldChar w:fldCharType="end"/>
      </w:r>
      <w:r>
        <w:rPr>
          <w:rFonts w:hint="eastAsia"/>
          <w:spacing w:val="0"/>
          <w:lang w:eastAsia="zh-CN"/>
        </w:rPr>
        <w:fldChar w:fldCharType="end"/>
      </w:r>
    </w:p>
    <w:p w14:paraId="05011C92">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_Toc16859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rPr>
        <w:t>尺寸检测要求</w:t>
      </w:r>
      <w:r>
        <w:tab/>
      </w:r>
      <w:r>
        <w:fldChar w:fldCharType="begin"/>
      </w:r>
      <w:r>
        <w:instrText xml:space="preserve"> PAGEREF _Toc16859 \h </w:instrText>
      </w:r>
      <w:r>
        <w:fldChar w:fldCharType="separate"/>
      </w:r>
      <w:r>
        <w:t>6</w:t>
      </w:r>
      <w:r>
        <w:fldChar w:fldCharType="end"/>
      </w:r>
      <w:r>
        <w:rPr>
          <w:rFonts w:hint="eastAsia"/>
          <w:spacing w:val="0"/>
          <w:lang w:eastAsia="zh-CN"/>
        </w:rPr>
        <w:fldChar w:fldCharType="end"/>
      </w:r>
    </w:p>
    <w:p w14:paraId="3901C685">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_Toc29139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lang w:val="en-US" w:eastAsia="zh-CN"/>
        </w:rPr>
        <w:t>机械</w:t>
      </w:r>
      <w:r>
        <w:rPr>
          <w:rFonts w:hint="eastAsia"/>
        </w:rPr>
        <w:t>性能检验要求</w:t>
      </w:r>
      <w:r>
        <w:tab/>
      </w:r>
      <w:r>
        <w:fldChar w:fldCharType="begin"/>
      </w:r>
      <w:r>
        <w:instrText xml:space="preserve"> PAGEREF _Toc29139 \h </w:instrText>
      </w:r>
      <w:r>
        <w:fldChar w:fldCharType="separate"/>
      </w:r>
      <w:r>
        <w:t>6</w:t>
      </w:r>
      <w:r>
        <w:fldChar w:fldCharType="end"/>
      </w:r>
      <w:r>
        <w:rPr>
          <w:rFonts w:hint="eastAsia"/>
          <w:spacing w:val="0"/>
          <w:lang w:eastAsia="zh-CN"/>
        </w:rPr>
        <w:fldChar w:fldCharType="end"/>
      </w:r>
    </w:p>
    <w:p w14:paraId="032B649F">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_Toc31793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6.4 </w:t>
      </w:r>
      <w:r>
        <w:rPr>
          <w:rFonts w:hint="eastAsia"/>
        </w:rPr>
        <w:t>无损检测要求（必要时）</w:t>
      </w:r>
      <w:r>
        <w:tab/>
      </w:r>
      <w:r>
        <w:fldChar w:fldCharType="begin"/>
      </w:r>
      <w:r>
        <w:instrText xml:space="preserve"> PAGEREF _Toc31793 \h </w:instrText>
      </w:r>
      <w:r>
        <w:fldChar w:fldCharType="separate"/>
      </w:r>
      <w:r>
        <w:t>6</w:t>
      </w:r>
      <w:r>
        <w:fldChar w:fldCharType="end"/>
      </w:r>
      <w:r>
        <w:rPr>
          <w:rFonts w:hint="eastAsia"/>
          <w:spacing w:val="0"/>
          <w:lang w:eastAsia="zh-CN"/>
        </w:rPr>
        <w:fldChar w:fldCharType="end"/>
      </w:r>
    </w:p>
    <w:p w14:paraId="664FA4B2">
      <w:pPr>
        <w:pStyle w:val="93"/>
        <w:bidi w:val="0"/>
        <w:rPr>
          <w:rFonts w:hint="eastAsia"/>
          <w:spacing w:val="0"/>
          <w:lang w:eastAsia="zh-CN"/>
        </w:rPr>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r>
        <w:rPr>
          <w:rFonts w:hint="eastAsia"/>
          <w:spacing w:val="0"/>
          <w:lang w:eastAsia="zh-CN"/>
        </w:rPr>
        <w:fldChar w:fldCharType="end"/>
      </w:r>
    </w:p>
    <w:bookmarkEnd w:id="11"/>
    <w:p w14:paraId="4BE303A4">
      <w:pPr>
        <w:pStyle w:val="91"/>
        <w:spacing w:before="560" w:after="360"/>
      </w:pPr>
      <w:bookmarkStart w:id="18" w:name="_Toc8534"/>
      <w:bookmarkStart w:id="19" w:name="BookMark2"/>
      <w:r>
        <w:rPr>
          <w:spacing w:val="320"/>
        </w:rPr>
        <w:t>前</w:t>
      </w:r>
      <w:r>
        <w:t>言</w:t>
      </w:r>
      <w:bookmarkEnd w:id="12"/>
      <w:bookmarkEnd w:id="13"/>
      <w:bookmarkEnd w:id="14"/>
      <w:bookmarkEnd w:id="15"/>
      <w:bookmarkEnd w:id="16"/>
      <w:bookmarkEnd w:id="17"/>
      <w:bookmarkEnd w:id="18"/>
    </w:p>
    <w:p w14:paraId="7180630D">
      <w:pPr>
        <w:pStyle w:val="58"/>
        <w:ind w:firstLine="420"/>
      </w:pPr>
      <w:r>
        <w:rPr>
          <w:rFonts w:hint="eastAsia"/>
        </w:rPr>
        <w:t>本文件按照GB/T 1.1—2020《标准化工作导则  第1部分：标准化文件的结构和起草规则》的规定起草。</w:t>
      </w:r>
    </w:p>
    <w:p w14:paraId="1DC53C7A">
      <w:pPr>
        <w:pStyle w:val="58"/>
        <w:ind w:firstLine="420"/>
      </w:pPr>
      <w:r>
        <w:rPr>
          <w:rFonts w:hint="eastAsia"/>
        </w:rPr>
        <w:t>请注意本文件的某些内容可能涉及专利。本文件的发布机构不承担识别这些专利的责任。</w:t>
      </w:r>
    </w:p>
    <w:p w14:paraId="50F7B74D">
      <w:pPr>
        <w:pStyle w:val="58"/>
        <w:ind w:firstLine="420"/>
      </w:pPr>
      <w:r>
        <w:rPr>
          <w:rFonts w:hint="eastAsia"/>
        </w:rPr>
        <w:t>本文件由宁夏天地奔牛</w:t>
      </w:r>
      <w:r>
        <w:rPr>
          <w:rFonts w:hint="eastAsia"/>
          <w:lang w:val="en-US" w:eastAsia="zh-CN"/>
        </w:rPr>
        <w:t>链条</w:t>
      </w:r>
      <w:r>
        <w:rPr>
          <w:rFonts w:hint="eastAsia"/>
        </w:rPr>
        <w:t>有限公司提出。</w:t>
      </w:r>
    </w:p>
    <w:p w14:paraId="4F42CF49">
      <w:pPr>
        <w:pStyle w:val="58"/>
        <w:ind w:firstLine="420"/>
      </w:pPr>
      <w:r>
        <w:rPr>
          <w:rFonts w:hint="eastAsia"/>
        </w:rPr>
        <w:t>本文件由宁夏机械工程学会归口。</w:t>
      </w:r>
    </w:p>
    <w:p w14:paraId="0FF0AAAE">
      <w:pPr>
        <w:pStyle w:val="58"/>
        <w:ind w:firstLine="420"/>
      </w:pPr>
      <w:r>
        <w:rPr>
          <w:rFonts w:hint="eastAsia"/>
        </w:rPr>
        <w:t>本文件起草单位：</w:t>
      </w:r>
      <w:r>
        <w:rPr>
          <w:rFonts w:hint="eastAsia"/>
          <w:lang w:val="en-US" w:eastAsia="zh-CN"/>
        </w:rPr>
        <w:t>宁夏天地奔牛链条有限公司</w:t>
      </w:r>
      <w:r>
        <w:rPr>
          <w:rFonts w:hint="eastAsia"/>
        </w:rPr>
        <w:t>、宁夏天地奔牛实业集团有限公司</w:t>
      </w:r>
      <w:r>
        <w:rPr>
          <w:rFonts w:hint="eastAsia"/>
          <w:lang w:val="en-US" w:eastAsia="zh-CN"/>
        </w:rPr>
        <w:t>、长春东北输送链条制造有限公司</w:t>
      </w:r>
      <w:r>
        <w:rPr>
          <w:rFonts w:hint="eastAsia"/>
        </w:rPr>
        <w:t>。</w:t>
      </w:r>
    </w:p>
    <w:p w14:paraId="27E2A9E1">
      <w:pPr>
        <w:pStyle w:val="58"/>
        <w:ind w:firstLine="420"/>
        <w:rPr>
          <w:rFonts w:hint="default" w:eastAsia="宋体"/>
          <w:color w:val="auto"/>
          <w:lang w:val="en-US" w:eastAsia="zh-CN"/>
        </w:rPr>
      </w:pPr>
      <w:r>
        <w:rPr>
          <w:rFonts w:hint="eastAsia"/>
        </w:rPr>
        <w:t>本文件主要起草人</w:t>
      </w:r>
      <w:r>
        <w:rPr>
          <w:rFonts w:hint="eastAsia"/>
          <w:color w:val="auto"/>
        </w:rPr>
        <w:t>：陈兵、任园、高凤琴、彭春涛、吴立忠、田国柱、</w:t>
      </w:r>
      <w:r>
        <w:rPr>
          <w:rFonts w:hint="eastAsia"/>
          <w:color w:val="auto"/>
          <w:lang w:val="en-US" w:eastAsia="zh-CN"/>
        </w:rPr>
        <w:t>卜侃侃、朱永年、陈云、</w:t>
      </w:r>
      <w:r>
        <w:rPr>
          <w:rFonts w:hint="eastAsia"/>
          <w:color w:val="auto"/>
        </w:rPr>
        <w:t>陈洪亮、丁瑜荣、袁雪伟、马斌、杨青、王继国、徐嘉凯、王彩君、李宗涛。</w:t>
      </w:r>
    </w:p>
    <w:p w14:paraId="18CEFCE4">
      <w:pPr>
        <w:pStyle w:val="58"/>
        <w:ind w:firstLine="420"/>
        <w:rPr>
          <w:color w:val="auto"/>
        </w:rPr>
      </w:pPr>
      <w:r>
        <w:rPr>
          <w:rFonts w:hint="eastAsia"/>
          <w:color w:val="auto"/>
        </w:rPr>
        <w:t>本文件为首次发布。</w:t>
      </w:r>
    </w:p>
    <w:p w14:paraId="45ADDEAC">
      <w:pPr>
        <w:pStyle w:val="58"/>
        <w:ind w:firstLine="420"/>
        <w:rPr>
          <w:color w:val="auto"/>
        </w:rPr>
        <w:sectPr>
          <w:pgSz w:w="11906" w:h="16838"/>
          <w:pgMar w:top="1928" w:right="1134" w:bottom="1134" w:left="1134" w:header="1418" w:footer="1134" w:gutter="284"/>
          <w:pgNumType w:fmt="upperRoman"/>
          <w:cols w:space="425" w:num="1"/>
          <w:formProt w:val="0"/>
          <w:docGrid w:linePitch="312" w:charSpace="0"/>
        </w:sectPr>
      </w:pPr>
      <w:bookmarkStart w:id="113" w:name="_GoBack"/>
      <w:bookmarkEnd w:id="113"/>
    </w:p>
    <w:bookmarkEnd w:id="19"/>
    <w:p w14:paraId="346250CF">
      <w:pPr>
        <w:spacing w:line="20" w:lineRule="exact"/>
        <w:jc w:val="center"/>
        <w:rPr>
          <w:rFonts w:ascii="黑体" w:hAnsi="黑体" w:eastAsia="黑体"/>
          <w:sz w:val="32"/>
          <w:szCs w:val="32"/>
        </w:rPr>
      </w:pPr>
      <w:bookmarkStart w:id="20" w:name="BookMark4"/>
    </w:p>
    <w:p w14:paraId="03D0395B">
      <w:pPr>
        <w:spacing w:line="20" w:lineRule="exact"/>
        <w:jc w:val="center"/>
        <w:rPr>
          <w:rFonts w:ascii="黑体" w:hAnsi="黑体" w:eastAsia="黑体"/>
          <w:sz w:val="32"/>
          <w:szCs w:val="32"/>
        </w:rPr>
      </w:pPr>
    </w:p>
    <w:sdt>
      <w:sdtPr>
        <w:tag w:val="NEW_STAND_NAME"/>
        <w:id w:val="595910757"/>
        <w:lock w:val="sdtLocked"/>
        <w:placeholder>
          <w:docPart w:val="6B66D5346CBF4AD5A26DF16C8EFD6ED1"/>
        </w:placeholder>
      </w:sdtPr>
      <w:sdtContent>
        <w:p w14:paraId="66FF8D56">
          <w:pPr>
            <w:pStyle w:val="179"/>
            <w:spacing w:before="240" w:beforeLines="100" w:after="528" w:afterLines="220"/>
          </w:pPr>
          <w:bookmarkStart w:id="21" w:name="NEW_STAND_NAME"/>
          <w:r>
            <w:rPr>
              <w:rFonts w:hint="eastAsia"/>
            </w:rPr>
            <w:t>矿用高强度圆环链制造工艺规范</w:t>
          </w:r>
        </w:p>
      </w:sdtContent>
    </w:sdt>
    <w:bookmarkEnd w:id="21"/>
    <w:p w14:paraId="5E3D7DEE">
      <w:pPr>
        <w:pStyle w:val="106"/>
        <w:adjustRightInd w:val="0"/>
        <w:spacing w:before="240" w:after="240"/>
        <w:ind w:left="0"/>
      </w:pPr>
      <w:bookmarkStart w:id="22" w:name="_Toc212714354"/>
      <w:bookmarkStart w:id="23" w:name="_Toc17233325"/>
      <w:bookmarkStart w:id="24" w:name="_Toc200883709"/>
      <w:bookmarkStart w:id="25" w:name="_Toc26986530"/>
      <w:bookmarkStart w:id="26" w:name="_Toc97192964"/>
      <w:bookmarkStart w:id="27" w:name="_Toc24884218"/>
      <w:bookmarkStart w:id="28" w:name="_Toc201732801"/>
      <w:bookmarkStart w:id="29" w:name="_Toc24520"/>
      <w:bookmarkStart w:id="30" w:name="_Toc24884211"/>
      <w:bookmarkStart w:id="31" w:name="_Toc26986771"/>
      <w:bookmarkStart w:id="32" w:name="_Toc200883626"/>
      <w:bookmarkStart w:id="33" w:name="_Toc26648465"/>
      <w:bookmarkStart w:id="34" w:name="_Toc212714321"/>
      <w:bookmarkStart w:id="35" w:name="_Toc17233333"/>
      <w:bookmarkStart w:id="36" w:name="_Toc26718930"/>
      <w:bookmarkStart w:id="37" w:name="_Toc4421"/>
      <w:r>
        <w:rPr>
          <w:rFonts w:hint="eastAsia"/>
        </w:rPr>
        <w:t>范围</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C3F460B">
      <w:pPr>
        <w:pStyle w:val="58"/>
        <w:ind w:firstLine="420"/>
        <w:rPr>
          <w:rFonts w:hint="eastAsia"/>
        </w:rPr>
      </w:pPr>
      <w:bookmarkStart w:id="38" w:name="_Toc24884212"/>
      <w:bookmarkStart w:id="39" w:name="_Toc17233334"/>
      <w:bookmarkStart w:id="40" w:name="_Toc24884219"/>
      <w:bookmarkStart w:id="41" w:name="_Toc17233326"/>
      <w:bookmarkStart w:id="42" w:name="_Toc26648466"/>
      <w:r>
        <w:rPr>
          <w:rFonts w:hint="eastAsia"/>
        </w:rPr>
        <w:t>本标准规定了矿用高强度圆环链相关术语定义、制造工艺、技术要求、检验检测要求等。</w:t>
      </w:r>
    </w:p>
    <w:p w14:paraId="7A39718D">
      <w:pPr>
        <w:pStyle w:val="58"/>
        <w:ind w:firstLine="420"/>
      </w:pPr>
      <w:r>
        <w:rPr>
          <w:rFonts w:hint="eastAsia"/>
        </w:rPr>
        <w:t>本标准适用于矿用高强度圆环链热编热焊全过程工艺规范及质量检测。</w:t>
      </w:r>
    </w:p>
    <w:p w14:paraId="059C3C49">
      <w:pPr>
        <w:pStyle w:val="106"/>
        <w:spacing w:before="240" w:after="240"/>
        <w:ind w:left="0"/>
      </w:pPr>
      <w:bookmarkStart w:id="43" w:name="_Toc200883710"/>
      <w:bookmarkStart w:id="44" w:name="_Toc97192965"/>
      <w:bookmarkStart w:id="45" w:name="_Toc212714322"/>
      <w:bookmarkStart w:id="46" w:name="_Toc26718931"/>
      <w:bookmarkStart w:id="47" w:name="_Toc200883627"/>
      <w:bookmarkStart w:id="48" w:name="_Toc27295"/>
      <w:bookmarkStart w:id="49" w:name="_Toc212714355"/>
      <w:bookmarkStart w:id="50" w:name="_Toc26986772"/>
      <w:bookmarkStart w:id="51" w:name="_Toc201732802"/>
      <w:bookmarkStart w:id="52" w:name="_Toc26986531"/>
      <w:bookmarkStart w:id="53" w:name="_Toc6320"/>
      <w:bookmarkStart w:id="54" w:name="OLE_LINK1"/>
      <w:bookmarkStart w:id="55" w:name="OLE_LINK2"/>
      <w:r>
        <w:rPr>
          <w:rFonts w:hint="eastAsia"/>
        </w:rPr>
        <w:t>规范性引用文件</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bookmarkEnd w:id="54"/>
    <w:bookmarkEnd w:id="55"/>
    <w:sdt>
      <w:sdtPr>
        <w:rPr>
          <w:rFonts w:hint="eastAsia"/>
        </w:rPr>
        <w:id w:val="715848253"/>
        <w:placeholder>
          <w:docPart w:val="E8235D4B65684E8683CD764C39E1830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F1EB76A">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EB5CBDB">
      <w:pPr>
        <w:pStyle w:val="58"/>
        <w:ind w:firstLine="420"/>
        <w:rPr>
          <w:rFonts w:hint="eastAsia" w:ascii="宋体" w:hAnsi="宋体"/>
          <w:color w:val="auto"/>
          <w:lang w:val="en-US" w:eastAsia="zh-CN"/>
        </w:rPr>
      </w:pPr>
      <w:r>
        <w:rPr>
          <w:rFonts w:hint="eastAsia" w:ascii="宋体" w:hAnsi="宋体"/>
          <w:color w:val="auto"/>
          <w:lang w:val="en-US" w:eastAsia="zh-CN"/>
        </w:rPr>
        <w:t>GB/T 3375—1994</w:t>
      </w:r>
      <w:r>
        <w:rPr>
          <w:rFonts w:ascii="宋体" w:hAnsi="宋体"/>
          <w:color w:val="auto"/>
        </w:rPr>
        <w:t xml:space="preserve"> </w:t>
      </w:r>
      <w:r>
        <w:rPr>
          <w:rFonts w:hint="eastAsia" w:ascii="宋体" w:hAnsi="宋体"/>
          <w:color w:val="auto"/>
        </w:rPr>
        <w:t xml:space="preserve"> </w:t>
      </w:r>
      <w:r>
        <w:rPr>
          <w:rFonts w:hint="eastAsia" w:ascii="宋体" w:hAnsi="宋体"/>
          <w:color w:val="auto"/>
          <w:lang w:val="en-US" w:eastAsia="zh-CN"/>
        </w:rPr>
        <w:t>焊接术语</w:t>
      </w:r>
    </w:p>
    <w:p w14:paraId="75EE45B0">
      <w:pPr>
        <w:pStyle w:val="58"/>
        <w:ind w:firstLine="420"/>
        <w:rPr>
          <w:rFonts w:hint="eastAsia" w:ascii="宋体" w:hAnsi="宋体"/>
          <w:color w:val="auto"/>
        </w:rPr>
      </w:pPr>
      <w:r>
        <w:rPr>
          <w:rFonts w:hint="eastAsia" w:ascii="宋体" w:hAnsi="宋体"/>
          <w:color w:val="auto"/>
        </w:rPr>
        <w:t>GB</w:t>
      </w:r>
      <w:r>
        <w:rPr>
          <w:rFonts w:ascii="宋体" w:hAnsi="宋体"/>
          <w:color w:val="auto"/>
        </w:rPr>
        <w:t xml:space="preserve"> </w:t>
      </w:r>
      <w:r>
        <w:rPr>
          <w:rFonts w:hint="eastAsia" w:ascii="宋体" w:hAnsi="宋体"/>
          <w:color w:val="auto"/>
        </w:rPr>
        <w:t>9448</w:t>
      </w:r>
      <w:r>
        <w:rPr>
          <w:rFonts w:ascii="宋体" w:hAnsi="宋体"/>
          <w:color w:val="auto"/>
        </w:rPr>
        <w:t xml:space="preserve"> </w:t>
      </w:r>
      <w:r>
        <w:rPr>
          <w:rFonts w:hint="eastAsia" w:ascii="宋体" w:hAnsi="宋体"/>
          <w:color w:val="auto"/>
        </w:rPr>
        <w:t xml:space="preserve"> 焊接与切割安全</w:t>
      </w:r>
    </w:p>
    <w:p w14:paraId="18C8C1BB">
      <w:pPr>
        <w:pStyle w:val="58"/>
        <w:ind w:firstLine="420"/>
        <w:rPr>
          <w:rFonts w:ascii="宋体" w:hAnsi="宋体"/>
          <w:color w:val="auto"/>
        </w:rPr>
      </w:pPr>
      <w:r>
        <w:rPr>
          <w:rFonts w:hint="eastAsia" w:ascii="宋体" w:hAnsi="宋体"/>
          <w:color w:val="auto"/>
        </w:rPr>
        <w:t xml:space="preserve">GB/T </w:t>
      </w:r>
      <w:r>
        <w:rPr>
          <w:rFonts w:hint="eastAsia" w:ascii="宋体" w:hAnsi="宋体"/>
          <w:color w:val="auto"/>
          <w:lang w:val="en-US" w:eastAsia="zh-CN"/>
        </w:rPr>
        <w:t>10560</w:t>
      </w:r>
      <w:r>
        <w:rPr>
          <w:rFonts w:hint="eastAsia" w:ascii="宋体" w:hAnsi="宋体"/>
          <w:color w:val="auto"/>
        </w:rPr>
        <w:t>—</w:t>
      </w:r>
      <w:r>
        <w:rPr>
          <w:rFonts w:hint="eastAsia" w:ascii="宋体" w:hAnsi="宋体"/>
          <w:color w:val="auto"/>
          <w:lang w:val="en-US" w:eastAsia="zh-CN"/>
        </w:rPr>
        <w:t>2017</w:t>
      </w:r>
      <w:r>
        <w:rPr>
          <w:rFonts w:ascii="宋体" w:hAnsi="宋体"/>
          <w:color w:val="auto"/>
        </w:rPr>
        <w:t xml:space="preserve"> </w:t>
      </w:r>
      <w:r>
        <w:rPr>
          <w:rFonts w:hint="eastAsia" w:ascii="宋体" w:hAnsi="宋体"/>
          <w:color w:val="auto"/>
        </w:rPr>
        <w:t xml:space="preserve"> 矿用焊接圆环链用钢</w:t>
      </w:r>
    </w:p>
    <w:p w14:paraId="69D61796">
      <w:pPr>
        <w:pStyle w:val="58"/>
        <w:ind w:firstLine="420"/>
        <w:rPr>
          <w:rFonts w:hint="eastAsia" w:ascii="宋体" w:hAnsi="宋体"/>
          <w:color w:val="auto"/>
        </w:rPr>
      </w:pPr>
      <w:r>
        <w:rPr>
          <w:rFonts w:hint="eastAsia" w:ascii="宋体" w:hAnsi="宋体"/>
          <w:color w:val="auto"/>
        </w:rPr>
        <w:t>GB/T</w:t>
      </w:r>
      <w:r>
        <w:rPr>
          <w:rFonts w:ascii="宋体" w:hAnsi="宋体"/>
          <w:color w:val="auto"/>
        </w:rPr>
        <w:t xml:space="preserve"> </w:t>
      </w:r>
      <w:r>
        <w:rPr>
          <w:rFonts w:hint="eastAsia" w:ascii="宋体" w:hAnsi="宋体"/>
          <w:color w:val="auto"/>
          <w:lang w:val="en-US" w:eastAsia="zh-CN"/>
        </w:rPr>
        <w:t>12718</w:t>
      </w:r>
      <w:r>
        <w:rPr>
          <w:rFonts w:hint="eastAsia" w:ascii="宋体" w:hAnsi="宋体"/>
          <w:color w:val="auto"/>
        </w:rPr>
        <w:t>—20</w:t>
      </w:r>
      <w:r>
        <w:rPr>
          <w:rFonts w:hint="eastAsia" w:ascii="宋体" w:hAnsi="宋体"/>
          <w:color w:val="auto"/>
          <w:lang w:val="en-US" w:eastAsia="zh-CN"/>
        </w:rPr>
        <w:t>09</w:t>
      </w:r>
      <w:r>
        <w:rPr>
          <w:rFonts w:ascii="宋体" w:hAnsi="宋体"/>
          <w:color w:val="auto"/>
        </w:rPr>
        <w:t xml:space="preserve"> </w:t>
      </w:r>
      <w:r>
        <w:rPr>
          <w:rFonts w:hint="eastAsia" w:ascii="宋体" w:hAnsi="宋体"/>
          <w:color w:val="auto"/>
        </w:rPr>
        <w:t xml:space="preserve"> 矿用高强度圆环链</w:t>
      </w:r>
    </w:p>
    <w:p w14:paraId="2646E5A6">
      <w:pPr>
        <w:pStyle w:val="58"/>
        <w:ind w:firstLine="420"/>
        <w:rPr>
          <w:rFonts w:hint="eastAsia" w:ascii="宋体" w:hAnsi="宋体"/>
          <w:color w:val="auto"/>
        </w:rPr>
      </w:pPr>
      <w:r>
        <w:rPr>
          <w:rFonts w:hint="eastAsia" w:ascii="宋体" w:hAnsi="宋体"/>
          <w:color w:val="auto"/>
          <w:lang w:val="en-US" w:eastAsia="zh-CN"/>
        </w:rPr>
        <w:t>MT</w:t>
      </w:r>
      <w:r>
        <w:rPr>
          <w:rFonts w:hint="eastAsia" w:ascii="宋体" w:hAnsi="宋体"/>
          <w:color w:val="auto"/>
        </w:rPr>
        <w:t xml:space="preserve">/T </w:t>
      </w:r>
      <w:r>
        <w:rPr>
          <w:rFonts w:hint="eastAsia" w:ascii="宋体" w:hAnsi="宋体"/>
          <w:color w:val="auto"/>
          <w:lang w:val="en-US" w:eastAsia="zh-CN"/>
        </w:rPr>
        <w:t>522</w:t>
      </w:r>
      <w:r>
        <w:rPr>
          <w:rFonts w:hint="eastAsia" w:ascii="宋体" w:hAnsi="宋体"/>
          <w:color w:val="auto"/>
        </w:rPr>
        <w:t>—</w:t>
      </w:r>
      <w:r>
        <w:rPr>
          <w:rFonts w:hint="eastAsia" w:ascii="宋体" w:hAnsi="宋体"/>
          <w:color w:val="auto"/>
          <w:lang w:val="en-US" w:eastAsia="zh-CN"/>
        </w:rPr>
        <w:t>2004</w:t>
      </w:r>
      <w:r>
        <w:rPr>
          <w:rFonts w:ascii="宋体" w:hAnsi="宋体"/>
          <w:color w:val="auto"/>
        </w:rPr>
        <w:t xml:space="preserve"> </w:t>
      </w:r>
      <w:r>
        <w:rPr>
          <w:rFonts w:hint="eastAsia" w:ascii="宋体" w:hAnsi="宋体"/>
          <w:color w:val="auto"/>
        </w:rPr>
        <w:t xml:space="preserve"> 矿用高强度圆环链检验规范</w:t>
      </w:r>
    </w:p>
    <w:p w14:paraId="444CFEC6">
      <w:pPr>
        <w:pStyle w:val="106"/>
        <w:spacing w:before="240" w:after="240"/>
        <w:ind w:left="0"/>
      </w:pPr>
      <w:bookmarkStart w:id="56" w:name="_Toc17779"/>
      <w:bookmarkStart w:id="57" w:name="_Toc212714356"/>
      <w:bookmarkStart w:id="58" w:name="_Toc201732803"/>
      <w:bookmarkStart w:id="59" w:name="_Toc97192966"/>
      <w:bookmarkStart w:id="60" w:name="_Toc200883711"/>
      <w:bookmarkStart w:id="61" w:name="_Toc212714323"/>
      <w:bookmarkStart w:id="62" w:name="_Toc200883628"/>
      <w:bookmarkStart w:id="63" w:name="_Toc29109"/>
      <w:r>
        <w:rPr>
          <w:rFonts w:hint="eastAsia"/>
        </w:rPr>
        <w:t>术语和定义</w:t>
      </w:r>
      <w:bookmarkEnd w:id="56"/>
      <w:bookmarkEnd w:id="57"/>
      <w:bookmarkEnd w:id="58"/>
      <w:bookmarkEnd w:id="59"/>
      <w:bookmarkEnd w:id="60"/>
      <w:bookmarkEnd w:id="61"/>
      <w:bookmarkEnd w:id="62"/>
      <w:bookmarkEnd w:id="63"/>
    </w:p>
    <w:sdt>
      <w:sdtPr>
        <w:rPr>
          <w:rFonts w:ascii="宋体" w:hAnsi="宋体"/>
        </w:rPr>
        <w:id w:val="-1909835108"/>
        <w:placeholder>
          <w:docPart w:val="1CF8D949331E4EC795B7EBD4ED4FE0B0"/>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宋体" w:hAnsi="宋体"/>
        </w:rPr>
      </w:sdtEndPr>
      <w:sdtContent>
        <w:p w14:paraId="33BA6766">
          <w:pPr>
            <w:pStyle w:val="58"/>
            <w:ind w:firstLine="420"/>
          </w:pPr>
          <w:bookmarkStart w:id="64" w:name="_Toc26986532"/>
          <w:bookmarkEnd w:id="64"/>
          <w:r>
            <w:rPr>
              <w:rFonts w:hint="eastAsia" w:ascii="宋体" w:hAnsi="宋体"/>
            </w:rPr>
            <w:t>GB/T 3375—1994</w:t>
          </w:r>
          <w:r>
            <w:rPr>
              <w:rFonts w:ascii="宋体" w:hAnsi="宋体"/>
            </w:rPr>
            <w:t>界定的以及下列术语和定义适用于本文件。</w:t>
          </w:r>
        </w:p>
      </w:sdtContent>
    </w:sdt>
    <w:p w14:paraId="36E16C00">
      <w:pPr>
        <w:pStyle w:val="225"/>
        <w:ind w:left="420" w:hanging="420" w:hangingChars="200"/>
        <w:rPr>
          <w:rFonts w:ascii="黑体" w:hAnsi="黑体" w:eastAsia="黑体"/>
        </w:rPr>
      </w:pPr>
    </w:p>
    <w:p w14:paraId="04FD1AAF">
      <w:pPr>
        <w:pStyle w:val="58"/>
        <w:ind w:firstLine="420"/>
        <w:rPr>
          <w:rFonts w:hint="eastAsia" w:ascii="Times New Roman" w:hAnsi="Times New Roman" w:eastAsia="黑体" w:cs="Times New Roman"/>
          <w:color w:val="auto"/>
          <w:sz w:val="21"/>
          <w:lang w:val="en-US" w:eastAsia="zh-CN" w:bidi="ar-SA"/>
        </w:rPr>
      </w:pPr>
      <w:r>
        <w:rPr>
          <w:rFonts w:hint="eastAsia" w:ascii="黑体" w:hAnsi="黑体" w:eastAsia="黑体"/>
          <w:lang w:val="en-US" w:eastAsia="zh-CN"/>
        </w:rPr>
        <w:t xml:space="preserve">闪光对焊  </w:t>
      </w:r>
      <w:r>
        <w:rPr>
          <w:rFonts w:hint="eastAsia" w:ascii="Times New Roman" w:hAnsi="Times New Roman" w:eastAsia="黑体" w:cs="Times New Roman"/>
          <w:color w:val="auto"/>
          <w:sz w:val="21"/>
          <w:lang w:val="en-US" w:eastAsia="zh-CN" w:bidi="ar-SA"/>
        </w:rPr>
        <w:t>flash welding</w:t>
      </w:r>
    </w:p>
    <w:p w14:paraId="4AC3AD7F">
      <w:pPr>
        <w:pStyle w:val="58"/>
        <w:ind w:firstLine="420"/>
        <w:rPr>
          <w:rFonts w:hint="eastAsia"/>
          <w:lang w:val="en-US" w:eastAsia="zh-CN"/>
        </w:rPr>
      </w:pPr>
      <w:r>
        <w:rPr>
          <w:rFonts w:hint="eastAsia"/>
          <w:lang w:val="en-US" w:eastAsia="zh-CN"/>
        </w:rPr>
        <w:t>工件装配成对接接头，接通电源，并使其端面逐渐移近达到局部接触，利用电阻热加热这些接触点（产生闪光），使端面金属熔化，直至端部在一定深度范围内达到预定温度时，迅速施加预锻力完成焊接的方法。闪光对焊又可分为连续闪光焊和预热闪光焊。</w:t>
      </w:r>
    </w:p>
    <w:p w14:paraId="61BDA58F">
      <w:pPr>
        <w:pStyle w:val="58"/>
        <w:ind w:firstLine="420"/>
        <w:rPr>
          <w:rFonts w:hint="eastAsia" w:ascii="宋体" w:hAnsi="宋体"/>
          <w:color w:val="auto"/>
        </w:rPr>
      </w:pPr>
      <w:r>
        <w:rPr>
          <w:rFonts w:hint="eastAsia" w:ascii="宋体" w:hAnsi="宋体"/>
          <w:color w:val="auto"/>
        </w:rPr>
        <w:t>[来源：GB/T 3375—1994,</w:t>
      </w:r>
      <w:r>
        <w:rPr>
          <w:rFonts w:hint="eastAsia" w:ascii="宋体" w:hAnsi="宋体"/>
          <w:color w:val="auto"/>
          <w:lang w:val="en-US" w:eastAsia="zh-CN"/>
        </w:rPr>
        <w:t>4</w:t>
      </w:r>
      <w:r>
        <w:rPr>
          <w:rFonts w:ascii="宋体" w:hAnsi="宋体"/>
          <w:color w:val="auto"/>
        </w:rPr>
        <w:t>.</w:t>
      </w:r>
      <w:r>
        <w:rPr>
          <w:rFonts w:hint="eastAsia" w:ascii="宋体" w:hAnsi="宋体"/>
          <w:color w:val="auto"/>
          <w:lang w:val="en-US" w:eastAsia="zh-CN"/>
        </w:rPr>
        <w:t>13</w:t>
      </w:r>
      <w:r>
        <w:rPr>
          <w:rFonts w:hint="eastAsia" w:ascii="宋体" w:hAnsi="宋体"/>
          <w:color w:val="auto"/>
        </w:rPr>
        <w:t>]</w:t>
      </w:r>
    </w:p>
    <w:p w14:paraId="46D130AD">
      <w:pPr>
        <w:pStyle w:val="225"/>
        <w:ind w:left="420" w:hanging="420" w:hangingChars="200"/>
        <w:rPr>
          <w:rFonts w:hint="eastAsia" w:ascii="黑体" w:hAnsi="黑体" w:eastAsia="黑体"/>
        </w:rPr>
      </w:pPr>
    </w:p>
    <w:p w14:paraId="18A34E1C">
      <w:pPr>
        <w:pStyle w:val="58"/>
        <w:ind w:firstLine="420"/>
        <w:rPr>
          <w:rFonts w:hint="eastAsia" w:ascii="黑体" w:hAnsi="黑体" w:eastAsia="黑体"/>
        </w:rPr>
      </w:pPr>
      <w:r>
        <w:rPr>
          <w:rFonts w:hint="eastAsia" w:ascii="黑体" w:hAnsi="黑体" w:eastAsia="黑体"/>
        </w:rPr>
        <w:t>热编热焊</w:t>
      </w:r>
      <w:r>
        <w:rPr>
          <w:rFonts w:hint="eastAsia" w:ascii="黑体" w:hAnsi="黑体" w:eastAsia="黑体"/>
          <w:lang w:val="en-US" w:eastAsia="zh-CN"/>
        </w:rPr>
        <w:t xml:space="preserve">  </w:t>
      </w:r>
      <w:r>
        <w:rPr>
          <w:rFonts w:hint="eastAsia" w:ascii="Times New Roman" w:hAnsi="Times New Roman" w:eastAsia="黑体" w:cs="Times New Roman"/>
          <w:color w:val="auto"/>
          <w:sz w:val="21"/>
          <w:lang w:val="en-US" w:eastAsia="zh-CN" w:bidi="ar-SA"/>
        </w:rPr>
        <w:t>hot forming and flash butt welding</w:t>
      </w:r>
    </w:p>
    <w:p w14:paraId="33BBA12C">
      <w:pPr>
        <w:pStyle w:val="58"/>
        <w:ind w:firstLine="420"/>
        <w:rPr>
          <w:rFonts w:ascii="黑体" w:hAnsi="黑体" w:eastAsia="黑体"/>
        </w:rPr>
      </w:pPr>
      <w:r>
        <w:rPr>
          <w:rFonts w:hint="eastAsia"/>
          <w:lang w:val="en-US" w:eastAsia="zh-CN"/>
        </w:rPr>
        <w:t>将</w:t>
      </w:r>
      <w:r>
        <w:rPr>
          <w:rFonts w:hint="eastAsia"/>
        </w:rPr>
        <w:t>圆钢</w:t>
      </w:r>
      <w:r>
        <w:rPr>
          <w:rFonts w:hint="eastAsia"/>
          <w:lang w:val="en-US" w:eastAsia="zh-CN"/>
        </w:rPr>
        <w:t>棒料加热至一定温度后完成编链成型，在热态下立即进行闪光对焊的工艺方法。</w:t>
      </w:r>
    </w:p>
    <w:p w14:paraId="2AFAA3E8">
      <w:pPr>
        <w:pStyle w:val="225"/>
        <w:rPr>
          <w:rFonts w:ascii="黑体" w:hAnsi="黑体" w:eastAsia="黑体"/>
        </w:rPr>
      </w:pPr>
    </w:p>
    <w:p w14:paraId="314F0BA7">
      <w:pPr>
        <w:pStyle w:val="58"/>
        <w:ind w:firstLine="420"/>
        <w:rPr>
          <w:rFonts w:hint="eastAsia" w:ascii="Times New Roman" w:hAnsi="Times New Roman" w:eastAsia="黑体" w:cs="Times New Roman"/>
          <w:color w:val="auto"/>
          <w:sz w:val="21"/>
          <w:lang w:val="en-US" w:eastAsia="zh-CN" w:bidi="ar-SA"/>
        </w:rPr>
      </w:pPr>
      <w:r>
        <w:rPr>
          <w:rFonts w:hint="eastAsia" w:ascii="黑体" w:hAnsi="黑体" w:eastAsia="黑体"/>
        </w:rPr>
        <w:t>去刺</w:t>
      </w:r>
      <w:r>
        <w:rPr>
          <w:rFonts w:hint="eastAsia" w:ascii="黑体" w:hAnsi="黑体" w:eastAsia="黑体"/>
          <w:lang w:val="en-US" w:eastAsia="zh-CN"/>
        </w:rPr>
        <w:t xml:space="preserve">  </w:t>
      </w:r>
      <w:r>
        <w:rPr>
          <w:rFonts w:hint="eastAsia" w:ascii="Times New Roman" w:hAnsi="Times New Roman" w:eastAsia="黑体" w:cs="Times New Roman"/>
          <w:color w:val="auto"/>
          <w:sz w:val="21"/>
          <w:lang w:val="en-US" w:eastAsia="zh-CN" w:bidi="ar-SA"/>
        </w:rPr>
        <w:t>flash removal</w:t>
      </w:r>
    </w:p>
    <w:p w14:paraId="273D2025">
      <w:pPr>
        <w:pStyle w:val="58"/>
        <w:ind w:firstLine="420"/>
        <w:rPr>
          <w:rFonts w:hint="eastAsia" w:ascii="宋体" w:hAnsi="宋体"/>
        </w:rPr>
      </w:pPr>
      <w:r>
        <w:rPr>
          <w:rFonts w:hint="eastAsia" w:ascii="宋体" w:hAnsi="宋体"/>
        </w:rPr>
        <w:t>使用专用去刺设备上的刀具，沿链环体周边旋转，将焊接后在焊口部位形成的一圈环形焊接毛刺（飞边或焊瘤）切除的工艺过程。</w:t>
      </w:r>
    </w:p>
    <w:p w14:paraId="359E40F3">
      <w:pPr>
        <w:pStyle w:val="225"/>
        <w:rPr>
          <w:rFonts w:ascii="黑体" w:hAnsi="黑体" w:eastAsia="黑体"/>
        </w:rPr>
      </w:pPr>
    </w:p>
    <w:p w14:paraId="7EACE460">
      <w:pPr>
        <w:pStyle w:val="225"/>
        <w:numPr>
          <w:ilvl w:val="0"/>
          <w:numId w:val="0"/>
        </w:numPr>
        <w:ind w:firstLine="420" w:firstLineChars="200"/>
        <w:rPr>
          <w:rFonts w:hint="default" w:ascii="Times New Roman" w:hAnsi="Times New Roman" w:eastAsia="黑体" w:cs="Times New Roman"/>
          <w:color w:val="auto"/>
        </w:rPr>
      </w:pPr>
      <w:r>
        <w:rPr>
          <w:rFonts w:hint="eastAsia" w:ascii="黑体" w:hAnsi="黑体" w:eastAsia="黑体"/>
          <w:lang w:val="en-US" w:eastAsia="zh-CN"/>
        </w:rPr>
        <w:t>预</w:t>
      </w:r>
      <w:r>
        <w:rPr>
          <w:rFonts w:hint="eastAsia" w:ascii="黑体" w:hAnsi="黑体" w:eastAsia="黑体"/>
        </w:rPr>
        <w:t>拉伸</w:t>
      </w:r>
      <w:r>
        <w:rPr>
          <w:rFonts w:hint="eastAsia" w:ascii="黑体" w:hAnsi="黑体" w:eastAsia="黑体"/>
          <w:lang w:val="en-US" w:eastAsia="zh-CN"/>
        </w:rPr>
        <w:t xml:space="preserve">  </w:t>
      </w:r>
      <w:r>
        <w:rPr>
          <w:rFonts w:hint="eastAsia" w:ascii="Times New Roman" w:hAnsi="Times New Roman" w:eastAsia="黑体" w:cs="Times New Roman"/>
          <w:color w:val="auto"/>
        </w:rPr>
        <w:t>pre-stretching</w:t>
      </w:r>
    </w:p>
    <w:p w14:paraId="7056BE2B">
      <w:pPr>
        <w:pStyle w:val="58"/>
        <w:ind w:firstLine="420"/>
        <w:rPr>
          <w:rFonts w:hint="eastAsia" w:ascii="宋体" w:hAnsi="宋体"/>
        </w:rPr>
      </w:pPr>
      <w:r>
        <w:rPr>
          <w:rFonts w:hint="eastAsia" w:ascii="宋体" w:hAnsi="宋体"/>
        </w:rPr>
        <w:t>对链条施加检验</w:t>
      </w:r>
      <w:r>
        <w:rPr>
          <w:rFonts w:hint="eastAsia" w:ascii="宋体" w:hAnsi="宋体"/>
          <w:lang w:val="en-US" w:eastAsia="zh-CN"/>
        </w:rPr>
        <w:t>负荷</w:t>
      </w:r>
      <w:r>
        <w:rPr>
          <w:rFonts w:hint="eastAsia" w:ascii="宋体" w:hAnsi="宋体"/>
        </w:rPr>
        <w:t>，使其产生可控塑性变形</w:t>
      </w:r>
      <w:r>
        <w:rPr>
          <w:rFonts w:hint="eastAsia" w:ascii="宋体" w:hAnsi="宋体"/>
          <w:lang w:eastAsia="zh-CN"/>
        </w:rPr>
        <w:t>，</w:t>
      </w:r>
      <w:r>
        <w:rPr>
          <w:rFonts w:hint="eastAsia" w:ascii="宋体" w:hAnsi="宋体"/>
        </w:rPr>
        <w:t>以消除残余应力、稳定尺寸的工艺过程。</w:t>
      </w:r>
    </w:p>
    <w:p w14:paraId="3EA8C18F">
      <w:pPr>
        <w:pStyle w:val="225"/>
        <w:ind w:left="420" w:hanging="420" w:hangingChars="200"/>
        <w:rPr>
          <w:rFonts w:hint="eastAsia" w:ascii="黑体" w:hAnsi="黑体" w:eastAsia="黑体"/>
        </w:rPr>
      </w:pPr>
    </w:p>
    <w:p w14:paraId="653F3355">
      <w:pPr>
        <w:pStyle w:val="58"/>
        <w:rPr>
          <w:rFonts w:hint="eastAsia" w:ascii="Times New Roman" w:hAnsi="Times New Roman" w:eastAsia="黑体" w:cs="Times New Roman"/>
          <w:color w:val="auto"/>
          <w:sz w:val="21"/>
          <w:lang w:val="en-US" w:eastAsia="zh-CN" w:bidi="ar-SA"/>
        </w:rPr>
      </w:pPr>
      <w:r>
        <w:rPr>
          <w:rFonts w:hint="eastAsia" w:ascii="黑体" w:hAnsi="黑体" w:eastAsia="黑体" w:cs="Times New Roman"/>
          <w:sz w:val="21"/>
          <w:lang w:val="en-US" w:eastAsia="zh-CN" w:bidi="ar-SA"/>
        </w:rPr>
        <w:t>夹渣</w:t>
      </w:r>
      <w:r>
        <w:rPr>
          <w:rFonts w:hint="eastAsia" w:ascii="黑体" w:hAnsi="黑体" w:eastAsia="黑体"/>
          <w:lang w:val="en-US" w:eastAsia="zh-CN"/>
        </w:rPr>
        <w:t xml:space="preserve">  </w:t>
      </w:r>
      <w:r>
        <w:rPr>
          <w:rFonts w:hint="eastAsia" w:ascii="Times New Roman" w:hAnsi="Times New Roman" w:eastAsia="黑体" w:cs="Times New Roman"/>
          <w:color w:val="auto"/>
          <w:sz w:val="21"/>
          <w:lang w:val="en-US" w:eastAsia="zh-CN" w:bidi="ar-SA"/>
        </w:rPr>
        <w:t>slag inclusion</w:t>
      </w:r>
    </w:p>
    <w:p w14:paraId="0640AB66">
      <w:pPr>
        <w:pStyle w:val="58"/>
        <w:ind w:firstLine="420"/>
        <w:rPr>
          <w:rFonts w:hint="eastAsia" w:ascii="宋体" w:hAnsi="宋体"/>
          <w:color w:val="auto"/>
        </w:rPr>
      </w:pPr>
      <w:r>
        <w:rPr>
          <w:rFonts w:hint="eastAsia" w:ascii="宋体" w:hAnsi="宋体"/>
          <w:color w:val="auto"/>
        </w:rPr>
        <w:t>焊后残留在焊缝中的焊渣。</w:t>
      </w:r>
    </w:p>
    <w:p w14:paraId="16AE4AEB">
      <w:pPr>
        <w:pStyle w:val="58"/>
        <w:ind w:firstLine="420"/>
        <w:rPr>
          <w:rFonts w:hint="eastAsia" w:ascii="宋体" w:hAnsi="宋体"/>
          <w:color w:val="auto"/>
        </w:rPr>
      </w:pPr>
      <w:r>
        <w:rPr>
          <w:rFonts w:hint="eastAsia" w:ascii="宋体" w:hAnsi="宋体"/>
          <w:color w:val="auto"/>
        </w:rPr>
        <w:t>[来源：GB/T 3375—1994,</w:t>
      </w:r>
      <w:r>
        <w:rPr>
          <w:rFonts w:hint="eastAsia" w:ascii="宋体" w:hAnsi="宋体"/>
          <w:color w:val="auto"/>
          <w:lang w:val="en-US" w:eastAsia="zh-CN"/>
        </w:rPr>
        <w:t>9</w:t>
      </w:r>
      <w:r>
        <w:rPr>
          <w:rFonts w:ascii="宋体" w:hAnsi="宋体"/>
          <w:color w:val="auto"/>
        </w:rPr>
        <w:t>.</w:t>
      </w:r>
      <w:r>
        <w:rPr>
          <w:rFonts w:hint="eastAsia" w:ascii="宋体" w:hAnsi="宋体"/>
          <w:color w:val="auto"/>
          <w:lang w:val="en-US" w:eastAsia="zh-CN"/>
        </w:rPr>
        <w:t>4</w:t>
      </w:r>
      <w:r>
        <w:rPr>
          <w:rFonts w:hint="eastAsia" w:ascii="宋体" w:hAnsi="宋体"/>
          <w:color w:val="auto"/>
        </w:rPr>
        <w:t>]</w:t>
      </w:r>
    </w:p>
    <w:p w14:paraId="39ED7236">
      <w:pPr>
        <w:pStyle w:val="225"/>
        <w:ind w:left="420" w:hanging="420" w:hangingChars="200"/>
        <w:rPr>
          <w:rFonts w:hint="eastAsia" w:ascii="黑体" w:hAnsi="黑体" w:eastAsia="黑体"/>
        </w:rPr>
      </w:pPr>
    </w:p>
    <w:p w14:paraId="1E4090C6">
      <w:pPr>
        <w:pStyle w:val="58"/>
        <w:rPr>
          <w:rFonts w:hint="eastAsia" w:ascii="Times New Roman" w:hAnsi="Times New Roman" w:eastAsia="黑体" w:cs="Times New Roman"/>
          <w:color w:val="auto"/>
          <w:sz w:val="21"/>
          <w:lang w:val="en-US" w:eastAsia="zh-CN" w:bidi="ar-SA"/>
        </w:rPr>
      </w:pPr>
      <w:r>
        <w:rPr>
          <w:rFonts w:hint="eastAsia" w:ascii="黑体" w:hAnsi="黑体" w:eastAsia="黑体" w:cs="Times New Roman"/>
          <w:sz w:val="21"/>
          <w:lang w:val="en-US" w:eastAsia="zh-CN" w:bidi="ar-SA"/>
        </w:rPr>
        <w:t>焊瘤</w:t>
      </w:r>
      <w:r>
        <w:rPr>
          <w:rFonts w:hint="eastAsia" w:ascii="黑体" w:hAnsi="黑体" w:eastAsia="黑体"/>
          <w:lang w:val="en-US" w:eastAsia="zh-CN"/>
        </w:rPr>
        <w:t xml:space="preserve">  </w:t>
      </w:r>
      <w:r>
        <w:rPr>
          <w:rFonts w:hint="eastAsia" w:ascii="Times New Roman" w:hAnsi="Times New Roman" w:eastAsia="黑体" w:cs="Times New Roman"/>
          <w:color w:val="auto"/>
          <w:sz w:val="21"/>
          <w:lang w:val="en-US" w:eastAsia="zh-CN" w:bidi="ar-SA"/>
        </w:rPr>
        <w:t>overlap</w:t>
      </w:r>
    </w:p>
    <w:p w14:paraId="262DEE3C">
      <w:pPr>
        <w:pStyle w:val="58"/>
        <w:ind w:firstLine="420"/>
        <w:rPr>
          <w:rFonts w:hint="eastAsia" w:ascii="宋体" w:hAnsi="宋体"/>
          <w:color w:val="auto"/>
        </w:rPr>
      </w:pPr>
      <w:r>
        <w:rPr>
          <w:rFonts w:hint="eastAsia" w:ascii="宋体" w:hAnsi="宋体"/>
          <w:color w:val="auto"/>
        </w:rPr>
        <w:t>焊接过程中，熔化金属流淌到焊缝之外未熔化的母材上所形成的金属瘤。</w:t>
      </w:r>
    </w:p>
    <w:p w14:paraId="725A0869">
      <w:pPr>
        <w:pStyle w:val="58"/>
        <w:ind w:firstLine="420"/>
        <w:rPr>
          <w:rFonts w:ascii="黑体" w:hAnsi="黑体" w:eastAsia="黑体"/>
          <w:strike/>
          <w:dstrike w:val="0"/>
        </w:rPr>
      </w:pPr>
      <w:r>
        <w:rPr>
          <w:rFonts w:hint="eastAsia" w:ascii="宋体" w:hAnsi="宋体"/>
          <w:color w:val="auto"/>
        </w:rPr>
        <w:t>[来源：GB/T 3375—1994,</w:t>
      </w:r>
      <w:r>
        <w:rPr>
          <w:rFonts w:hint="eastAsia" w:ascii="宋体" w:hAnsi="宋体"/>
          <w:color w:val="auto"/>
          <w:lang w:val="en-US" w:eastAsia="zh-CN"/>
        </w:rPr>
        <w:t>9</w:t>
      </w:r>
      <w:r>
        <w:rPr>
          <w:rFonts w:ascii="宋体" w:hAnsi="宋体"/>
          <w:color w:val="auto"/>
        </w:rPr>
        <w:t>.</w:t>
      </w:r>
      <w:r>
        <w:rPr>
          <w:rFonts w:hint="eastAsia" w:ascii="宋体" w:hAnsi="宋体"/>
          <w:color w:val="auto"/>
          <w:lang w:val="en-US" w:eastAsia="zh-CN"/>
        </w:rPr>
        <w:t>9</w:t>
      </w:r>
      <w:r>
        <w:rPr>
          <w:rFonts w:hint="eastAsia" w:ascii="宋体" w:hAnsi="宋体"/>
          <w:color w:val="auto"/>
        </w:rPr>
        <w:t>]</w:t>
      </w:r>
    </w:p>
    <w:p w14:paraId="2D686E96">
      <w:pPr>
        <w:pStyle w:val="106"/>
        <w:spacing w:before="240" w:after="240"/>
        <w:ind w:left="0"/>
      </w:pPr>
      <w:bookmarkStart w:id="65" w:name="_Toc5393"/>
      <w:bookmarkStart w:id="66" w:name="_Toc31235"/>
      <w:r>
        <w:rPr>
          <w:rFonts w:hint="eastAsia"/>
          <w:lang w:val="en-US" w:eastAsia="zh-CN"/>
        </w:rPr>
        <w:t>制造准备</w:t>
      </w:r>
      <w:bookmarkEnd w:id="65"/>
      <w:bookmarkEnd w:id="66"/>
    </w:p>
    <w:p w14:paraId="58AD61AE">
      <w:pPr>
        <w:pStyle w:val="107"/>
        <w:spacing w:before="120" w:after="120"/>
      </w:pPr>
      <w:bookmarkStart w:id="67" w:name="_Toc212714326"/>
      <w:bookmarkStart w:id="68" w:name="_Toc17270"/>
      <w:r>
        <w:rPr>
          <w:rFonts w:hint="eastAsia"/>
        </w:rPr>
        <w:t>人员</w:t>
      </w:r>
      <w:bookmarkEnd w:id="67"/>
      <w:bookmarkEnd w:id="68"/>
    </w:p>
    <w:p w14:paraId="0248E084">
      <w:pPr>
        <w:pStyle w:val="167"/>
        <w:ind w:left="0"/>
      </w:pPr>
      <w:r>
        <w:rPr>
          <w:rFonts w:hint="eastAsia"/>
        </w:rPr>
        <w:t>从事编链、焊接、热处理等关键工序的操作人员应经过专业培训，持证上岗。</w:t>
      </w:r>
    </w:p>
    <w:p w14:paraId="487F65E5">
      <w:pPr>
        <w:pStyle w:val="167"/>
        <w:ind w:left="0"/>
        <w:rPr>
          <w:highlight w:val="none"/>
        </w:rPr>
      </w:pPr>
      <w:r>
        <w:rPr>
          <w:rFonts w:hint="eastAsia"/>
        </w:rPr>
        <w:t>操作</w:t>
      </w:r>
      <w:r>
        <w:rPr>
          <w:rFonts w:hint="eastAsia"/>
          <w:highlight w:val="none"/>
        </w:rPr>
        <w:t>人员</w:t>
      </w:r>
      <w:r>
        <w:rPr>
          <w:rFonts w:hint="eastAsia"/>
          <w:highlight w:val="none"/>
          <w:lang w:val="en-US" w:eastAsia="zh-CN"/>
        </w:rPr>
        <w:t>上岗前</w:t>
      </w:r>
      <w:r>
        <w:rPr>
          <w:rFonts w:hint="eastAsia"/>
          <w:highlight w:val="none"/>
        </w:rPr>
        <w:t>应熟悉图纸、工艺文件及设备操作规程。</w:t>
      </w:r>
    </w:p>
    <w:p w14:paraId="7701639A">
      <w:pPr>
        <w:pStyle w:val="167"/>
        <w:ind w:left="0"/>
      </w:pPr>
      <w:r>
        <w:rPr>
          <w:rFonts w:hint="eastAsia"/>
          <w:lang w:val="en-US" w:eastAsia="zh-CN"/>
        </w:rPr>
        <w:t>编链、焊接、去刺、</w:t>
      </w:r>
      <w:r>
        <w:rPr>
          <w:rFonts w:hint="eastAsia"/>
        </w:rPr>
        <w:t>修磨作业</w:t>
      </w:r>
      <w:r>
        <w:rPr>
          <w:rFonts w:hint="eastAsia"/>
          <w:lang w:val="en-US" w:eastAsia="zh-CN"/>
        </w:rPr>
        <w:t>人员</w:t>
      </w:r>
      <w:r>
        <w:rPr>
          <w:rFonts w:hint="eastAsia"/>
        </w:rPr>
        <w:t>应穿戴好安全防护用品，工作中所需要防护用品应符合GB 9448</w:t>
      </w:r>
      <w:r>
        <w:rPr>
          <w:rFonts w:hint="eastAsia"/>
          <w:lang w:val="en-US" w:eastAsia="zh-CN"/>
        </w:rPr>
        <w:t>的</w:t>
      </w:r>
      <w:r>
        <w:rPr>
          <w:rFonts w:hint="eastAsia"/>
        </w:rPr>
        <w:t>要求。</w:t>
      </w:r>
    </w:p>
    <w:p w14:paraId="63E7A6D2">
      <w:pPr>
        <w:pStyle w:val="107"/>
        <w:spacing w:before="120" w:after="120"/>
      </w:pPr>
      <w:bookmarkStart w:id="69" w:name="_Toc212714328"/>
      <w:bookmarkStart w:id="70" w:name="_Toc10939"/>
      <w:r>
        <w:rPr>
          <w:rFonts w:hint="eastAsia"/>
        </w:rPr>
        <w:t>设备及工装</w:t>
      </w:r>
      <w:bookmarkEnd w:id="69"/>
      <w:bookmarkEnd w:id="70"/>
    </w:p>
    <w:p w14:paraId="3F37D979">
      <w:pPr>
        <w:pStyle w:val="167"/>
        <w:ind w:left="0"/>
      </w:pPr>
      <w:r>
        <w:rPr>
          <w:rFonts w:hint="eastAsia"/>
          <w:strike w:val="0"/>
          <w:dstrike w:val="0"/>
        </w:rPr>
        <w:t>编链机、闪光对焊机、热处理</w:t>
      </w:r>
      <w:r>
        <w:rPr>
          <w:rFonts w:hint="eastAsia"/>
          <w:strike w:val="0"/>
          <w:dstrike w:val="0"/>
          <w:lang w:val="en-US" w:eastAsia="zh-CN"/>
        </w:rPr>
        <w:t>设备</w:t>
      </w:r>
      <w:r>
        <w:rPr>
          <w:rFonts w:hint="eastAsia"/>
          <w:strike w:val="0"/>
          <w:dstrike w:val="0"/>
        </w:rPr>
        <w:t>、拉伸机等</w:t>
      </w:r>
      <w:r>
        <w:rPr>
          <w:rFonts w:hint="eastAsia"/>
        </w:rPr>
        <w:t>关键生产与检测设备应处于满足工艺要求的完好状态</w:t>
      </w:r>
      <w:r>
        <w:rPr>
          <w:rFonts w:hint="eastAsia"/>
          <w:lang w:eastAsia="zh-CN"/>
        </w:rPr>
        <w:t>，</w:t>
      </w:r>
      <w:r>
        <w:rPr>
          <w:rFonts w:hint="eastAsia"/>
          <w:strike w:val="0"/>
          <w:dstrike w:val="0"/>
        </w:rPr>
        <w:t>其上的压力表、温控表、热电偶</w:t>
      </w:r>
      <w:r>
        <w:rPr>
          <w:rFonts w:hint="eastAsia"/>
          <w:strike w:val="0"/>
          <w:dstrike w:val="0"/>
          <w:color w:val="auto"/>
        </w:rPr>
        <w:t>等关键计量仪表应按国</w:t>
      </w:r>
      <w:r>
        <w:rPr>
          <w:rFonts w:hint="eastAsia"/>
          <w:strike w:val="0"/>
          <w:dstrike w:val="0"/>
        </w:rPr>
        <w:t>家或行业标准规定的周期进行检定或校准，并取得合格证书或标识，且在有效期内。</w:t>
      </w:r>
    </w:p>
    <w:p w14:paraId="16B8A0AE">
      <w:pPr>
        <w:pStyle w:val="167"/>
        <w:ind w:left="0"/>
      </w:pPr>
      <w:r>
        <w:rPr>
          <w:rFonts w:hint="eastAsia"/>
        </w:rPr>
        <w:t>所有电气设备、加热设备、气体管路应符合国家安全、职业健康及环保规定。</w:t>
      </w:r>
    </w:p>
    <w:p w14:paraId="38A832B9">
      <w:pPr>
        <w:pStyle w:val="167"/>
        <w:ind w:left="0"/>
      </w:pPr>
      <w:r>
        <w:rPr>
          <w:rFonts w:hint="eastAsia"/>
        </w:rPr>
        <w:t>焊接设备应满足闪光对焊工艺对电流、电压、顶锻力的要求。</w:t>
      </w:r>
    </w:p>
    <w:p w14:paraId="77796691">
      <w:pPr>
        <w:pStyle w:val="167"/>
        <w:ind w:left="0"/>
      </w:pPr>
      <w:r>
        <w:rPr>
          <w:rFonts w:hint="eastAsia"/>
        </w:rPr>
        <w:t>工装</w:t>
      </w:r>
      <w:r>
        <w:rPr>
          <w:rFonts w:hint="eastAsia"/>
          <w:lang w:val="en-US" w:eastAsia="zh-CN"/>
        </w:rPr>
        <w:t>夹</w:t>
      </w:r>
      <w:r>
        <w:rPr>
          <w:rFonts w:hint="eastAsia"/>
        </w:rPr>
        <w:t>具（如编链</w:t>
      </w:r>
      <w:r>
        <w:rPr>
          <w:rFonts w:hint="eastAsia"/>
          <w:lang w:val="en-US" w:eastAsia="zh-CN"/>
        </w:rPr>
        <w:t>模具</w:t>
      </w:r>
      <w:r>
        <w:rPr>
          <w:rFonts w:hint="eastAsia"/>
        </w:rPr>
        <w:t>、焊接夹</w:t>
      </w:r>
      <w:r>
        <w:rPr>
          <w:rFonts w:hint="eastAsia"/>
          <w:lang w:val="en-US" w:eastAsia="zh-CN"/>
        </w:rPr>
        <w:t>头</w:t>
      </w:r>
      <w:r>
        <w:rPr>
          <w:rFonts w:hint="eastAsia"/>
          <w:lang w:eastAsia="zh-CN"/>
        </w:rPr>
        <w:t>、</w:t>
      </w:r>
      <w:r>
        <w:rPr>
          <w:rFonts w:hint="eastAsia"/>
          <w:lang w:val="en-US" w:eastAsia="zh-CN"/>
        </w:rPr>
        <w:t>去刺刀片</w:t>
      </w:r>
      <w:r>
        <w:rPr>
          <w:rFonts w:hint="eastAsia"/>
        </w:rPr>
        <w:t>）应定期检查，磨损超差时应及时更换。</w:t>
      </w:r>
    </w:p>
    <w:p w14:paraId="246DAE05">
      <w:pPr>
        <w:pStyle w:val="167"/>
        <w:ind w:left="0"/>
      </w:pPr>
      <w:r>
        <w:rPr>
          <w:rFonts w:hint="eastAsia"/>
          <w:lang w:val="en-US" w:eastAsia="zh-CN"/>
        </w:rPr>
        <w:t>编链、焊接工作</w:t>
      </w:r>
      <w:r>
        <w:rPr>
          <w:rFonts w:hint="eastAsia"/>
        </w:rPr>
        <w:t>前</w:t>
      </w:r>
      <w:r>
        <w:rPr>
          <w:rFonts w:hint="eastAsia"/>
          <w:lang w:val="en-US" w:eastAsia="zh-CN"/>
        </w:rPr>
        <w:t>应</w:t>
      </w:r>
      <w:r>
        <w:rPr>
          <w:rFonts w:hint="eastAsia"/>
        </w:rPr>
        <w:t>检查工作场地供气管路、工艺装备等。</w:t>
      </w:r>
    </w:p>
    <w:p w14:paraId="7D1DC479">
      <w:pPr>
        <w:pStyle w:val="107"/>
        <w:spacing w:before="120" w:after="120"/>
      </w:pPr>
      <w:bookmarkStart w:id="71" w:name="_Toc212714327"/>
      <w:bookmarkStart w:id="72" w:name="_Toc10751"/>
      <w:r>
        <w:rPr>
          <w:rFonts w:hint="eastAsia"/>
        </w:rPr>
        <w:t>原材料</w:t>
      </w:r>
      <w:bookmarkEnd w:id="71"/>
      <w:bookmarkEnd w:id="72"/>
    </w:p>
    <w:p w14:paraId="69923A74">
      <w:pPr>
        <w:pStyle w:val="167"/>
        <w:ind w:left="0"/>
        <w:rPr>
          <w:rFonts w:hint="eastAsia"/>
          <w:highlight w:val="none"/>
          <w:lang w:val="en-US" w:eastAsia="zh-CN"/>
        </w:rPr>
      </w:pPr>
      <w:r>
        <w:rPr>
          <w:rFonts w:hint="eastAsia"/>
          <w:highlight w:val="none"/>
          <w:lang w:val="en-US" w:eastAsia="zh-CN"/>
        </w:rPr>
        <w:t>圆钢材料牌号、规格、公称直径、长度及允许偏差应符合GB/T 10560或订货技术条件的要求。</w:t>
      </w:r>
    </w:p>
    <w:p w14:paraId="68E89D98">
      <w:pPr>
        <w:pStyle w:val="167"/>
        <w:ind w:left="0"/>
        <w:rPr>
          <w:rFonts w:hint="eastAsia"/>
          <w:highlight w:val="none"/>
          <w:lang w:val="en-US" w:eastAsia="zh-CN"/>
        </w:rPr>
      </w:pPr>
      <w:r>
        <w:rPr>
          <w:rFonts w:hint="eastAsia"/>
          <w:highlight w:val="none"/>
          <w:lang w:val="en-US" w:eastAsia="zh-CN"/>
        </w:rPr>
        <w:t>圆钢材料入厂应核对牌号、规格、表面质量及质保书。</w:t>
      </w:r>
    </w:p>
    <w:p w14:paraId="1B2F7B92">
      <w:pPr>
        <w:pStyle w:val="167"/>
        <w:ind w:left="0"/>
        <w:rPr>
          <w:rFonts w:hint="eastAsia"/>
          <w:highlight w:val="none"/>
          <w:lang w:val="en-US" w:eastAsia="zh-CN"/>
        </w:rPr>
      </w:pPr>
      <w:r>
        <w:rPr>
          <w:rFonts w:hint="eastAsia"/>
          <w:highlight w:val="none"/>
          <w:lang w:val="en-US" w:eastAsia="zh-CN"/>
        </w:rPr>
        <w:t>热轧材料、冷拉材料的表面质量应符合GB/T 10560—2017中5.10的规定。</w:t>
      </w:r>
    </w:p>
    <w:p w14:paraId="4438A342">
      <w:pPr>
        <w:pStyle w:val="167"/>
        <w:ind w:left="0"/>
        <w:rPr>
          <w:rFonts w:hint="eastAsia"/>
          <w:highlight w:val="none"/>
          <w:lang w:val="en-US" w:eastAsia="zh-CN"/>
        </w:rPr>
      </w:pPr>
      <w:r>
        <w:rPr>
          <w:rFonts w:hint="eastAsia"/>
          <w:highlight w:val="none"/>
          <w:lang w:val="en-US" w:eastAsia="zh-CN"/>
        </w:rPr>
        <w:t>每批次入厂的圆钢材料应按GB/T 10560—2017第6章的规定进行化学成分、力学性能、金相组织检测。</w:t>
      </w:r>
    </w:p>
    <w:p w14:paraId="2550514E">
      <w:pPr>
        <w:pStyle w:val="167"/>
        <w:ind w:left="0"/>
        <w:rPr>
          <w:rFonts w:hint="eastAsia"/>
          <w:highlight w:val="none"/>
          <w:lang w:val="en-US" w:eastAsia="zh-CN"/>
        </w:rPr>
      </w:pPr>
      <w:r>
        <w:rPr>
          <w:rFonts w:hint="eastAsia"/>
          <w:highlight w:val="none"/>
          <w:lang w:val="en-US" w:eastAsia="zh-CN"/>
        </w:rPr>
        <w:t>圆钢材料的化学成分、非金属夹杂物、奥氏体晶粒度、脱碳层及力学性能应符合GB/T 10560—2017第5章的规定。</w:t>
      </w:r>
    </w:p>
    <w:p w14:paraId="7DA7480D">
      <w:pPr>
        <w:pStyle w:val="107"/>
        <w:spacing w:before="120" w:after="120"/>
        <w:rPr>
          <w:rFonts w:hint="eastAsia"/>
        </w:rPr>
      </w:pPr>
      <w:bookmarkStart w:id="73" w:name="_Toc200883629"/>
      <w:bookmarkStart w:id="74" w:name="_Toc200883712"/>
      <w:bookmarkStart w:id="75" w:name="_Toc201732804"/>
      <w:bookmarkStart w:id="76" w:name="_Toc212714324"/>
      <w:bookmarkStart w:id="77" w:name="_Toc23647"/>
      <w:bookmarkStart w:id="78" w:name="_Toc212714357"/>
      <w:bookmarkStart w:id="79" w:name="_Toc19755"/>
      <w:r>
        <w:rPr>
          <w:rFonts w:hint="eastAsia"/>
        </w:rPr>
        <w:t>工作场地</w:t>
      </w:r>
      <w:r>
        <w:rPr>
          <w:rFonts w:hint="eastAsia"/>
          <w:lang w:val="en-US" w:eastAsia="zh-CN"/>
        </w:rPr>
        <w:t>及环境</w:t>
      </w:r>
      <w:bookmarkEnd w:id="73"/>
      <w:bookmarkEnd w:id="74"/>
      <w:bookmarkEnd w:id="75"/>
      <w:bookmarkEnd w:id="76"/>
      <w:bookmarkEnd w:id="77"/>
      <w:bookmarkEnd w:id="78"/>
      <w:bookmarkEnd w:id="79"/>
    </w:p>
    <w:p w14:paraId="397B1D64">
      <w:pPr>
        <w:pStyle w:val="167"/>
        <w:ind w:left="0"/>
        <w:rPr>
          <w:rFonts w:hint="eastAsia"/>
          <w:lang w:val="en-US" w:eastAsia="zh-CN"/>
        </w:rPr>
      </w:pPr>
      <w:r>
        <w:rPr>
          <w:rFonts w:hint="eastAsia"/>
          <w:lang w:val="en-US" w:eastAsia="zh-CN"/>
        </w:rPr>
        <w:t>工作场地环境温度宜保</w:t>
      </w:r>
      <w:r>
        <w:rPr>
          <w:rFonts w:hint="eastAsia"/>
          <w:highlight w:val="none"/>
          <w:lang w:val="en-US" w:eastAsia="zh-CN"/>
        </w:rPr>
        <w:t>持在5 ℃～40 ℃，</w:t>
      </w:r>
      <w:r>
        <w:rPr>
          <w:rFonts w:hint="eastAsia"/>
          <w:lang w:val="en-US" w:eastAsia="zh-CN"/>
        </w:rPr>
        <w:t>特殊工序（如热处理）环境温度应符合工艺要求。</w:t>
      </w:r>
    </w:p>
    <w:p w14:paraId="4250E24F">
      <w:pPr>
        <w:pStyle w:val="167"/>
        <w:ind w:left="0"/>
        <w:rPr>
          <w:rFonts w:hint="eastAsia"/>
          <w:lang w:val="en-US" w:eastAsia="zh-CN"/>
        </w:rPr>
      </w:pPr>
      <w:r>
        <w:rPr>
          <w:rFonts w:hint="eastAsia"/>
          <w:lang w:val="en-US" w:eastAsia="zh-CN"/>
        </w:rPr>
        <w:t>作业场地周围不应存放易燃、易爆物品，应符合GB 9448的要求。</w:t>
      </w:r>
    </w:p>
    <w:p w14:paraId="5AA761C1">
      <w:pPr>
        <w:pStyle w:val="167"/>
        <w:ind w:left="0"/>
        <w:rPr>
          <w:rFonts w:hint="eastAsia"/>
          <w:lang w:val="en-US" w:eastAsia="zh-CN"/>
        </w:rPr>
      </w:pPr>
      <w:r>
        <w:rPr>
          <w:rFonts w:hint="eastAsia"/>
          <w:lang w:val="en-US" w:eastAsia="zh-CN"/>
        </w:rPr>
        <w:t>车间应保持良好通风，配备排烟除尘设备，焊接、热处理工序应设置局部排风装置。</w:t>
      </w:r>
    </w:p>
    <w:p w14:paraId="77A3A417">
      <w:pPr>
        <w:pStyle w:val="107"/>
        <w:spacing w:before="120" w:after="120"/>
      </w:pPr>
      <w:bookmarkStart w:id="80" w:name="_Toc44"/>
      <w:r>
        <w:rPr>
          <w:rFonts w:hint="eastAsia"/>
        </w:rPr>
        <w:t>安全</w:t>
      </w:r>
      <w:r>
        <w:rPr>
          <w:rFonts w:hint="eastAsia"/>
          <w:lang w:val="en-US" w:eastAsia="zh-CN"/>
        </w:rPr>
        <w:t>注意</w:t>
      </w:r>
      <w:r>
        <w:rPr>
          <w:rFonts w:hint="eastAsia"/>
        </w:rPr>
        <w:t>事项</w:t>
      </w:r>
      <w:bookmarkEnd w:id="80"/>
    </w:p>
    <w:p w14:paraId="1CE959E6">
      <w:pPr>
        <w:pStyle w:val="167"/>
        <w:ind w:left="0"/>
      </w:pPr>
      <w:r>
        <w:rPr>
          <w:rFonts w:hint="eastAsia"/>
        </w:rPr>
        <w:t>所有设备（尤其对焊机）</w:t>
      </w:r>
      <w:r>
        <w:rPr>
          <w:rFonts w:hint="eastAsia"/>
          <w:lang w:val="en-US" w:eastAsia="zh-CN"/>
        </w:rPr>
        <w:t>应</w:t>
      </w:r>
      <w:r>
        <w:rPr>
          <w:rFonts w:hint="eastAsia"/>
        </w:rPr>
        <w:t>有可靠接地保护</w:t>
      </w:r>
      <w:r>
        <w:rPr>
          <w:rFonts w:hint="eastAsia"/>
          <w:lang w:eastAsia="zh-CN"/>
        </w:rPr>
        <w:t>。</w:t>
      </w:r>
    </w:p>
    <w:p w14:paraId="12826F0B">
      <w:pPr>
        <w:pStyle w:val="167"/>
        <w:ind w:left="0"/>
      </w:pPr>
      <w:r>
        <w:rPr>
          <w:rFonts w:hint="eastAsia"/>
        </w:rPr>
        <w:t>焊接区域应采取防触电、防烫伤、防弧光辐射措施。</w:t>
      </w:r>
    </w:p>
    <w:p w14:paraId="57495882">
      <w:pPr>
        <w:pStyle w:val="167"/>
        <w:ind w:left="0"/>
      </w:pPr>
      <w:r>
        <w:rPr>
          <w:rFonts w:hint="eastAsia"/>
        </w:rPr>
        <w:t>热处理工序应采取防高温烫伤、防火措施。</w:t>
      </w:r>
    </w:p>
    <w:p w14:paraId="13EE2B99">
      <w:pPr>
        <w:pStyle w:val="167"/>
        <w:ind w:left="0"/>
      </w:pPr>
      <w:r>
        <w:rPr>
          <w:rFonts w:hint="default"/>
          <w:color w:val="auto"/>
          <w:lang w:val="en-US" w:eastAsia="zh-CN"/>
        </w:rPr>
        <w:t>防锈作业区域应保持良好通风，远离火源。</w:t>
      </w:r>
    </w:p>
    <w:p w14:paraId="278EBC49">
      <w:pPr>
        <w:pStyle w:val="167"/>
        <w:ind w:left="0"/>
      </w:pPr>
      <w:r>
        <w:rPr>
          <w:rFonts w:hint="eastAsia"/>
          <w:lang w:val="en-US" w:eastAsia="zh-CN"/>
        </w:rPr>
        <w:t>作业完毕后应关闭设备电源、气源，清理现场。</w:t>
      </w:r>
    </w:p>
    <w:p w14:paraId="024FD2E8">
      <w:pPr>
        <w:pStyle w:val="106"/>
        <w:spacing w:before="240" w:after="240"/>
        <w:ind w:left="0"/>
      </w:pPr>
      <w:bookmarkStart w:id="81" w:name="_Toc22413"/>
      <w:bookmarkStart w:id="82" w:name="_Toc212714329"/>
      <w:bookmarkStart w:id="83" w:name="_Toc212714359"/>
      <w:bookmarkStart w:id="84" w:name="_Toc200883714"/>
      <w:bookmarkStart w:id="85" w:name="_Toc200883631"/>
      <w:bookmarkStart w:id="86" w:name="_Toc201732806"/>
      <w:bookmarkStart w:id="87" w:name="_Toc21325"/>
      <w:r>
        <w:rPr>
          <w:rFonts w:hint="eastAsia"/>
        </w:rPr>
        <w:t>制造工艺技术要求</w:t>
      </w:r>
      <w:bookmarkEnd w:id="81"/>
      <w:bookmarkEnd w:id="82"/>
      <w:bookmarkEnd w:id="83"/>
      <w:bookmarkEnd w:id="84"/>
      <w:bookmarkEnd w:id="85"/>
      <w:bookmarkEnd w:id="86"/>
      <w:bookmarkEnd w:id="87"/>
    </w:p>
    <w:p w14:paraId="1B204F98">
      <w:pPr>
        <w:pStyle w:val="107"/>
        <w:spacing w:before="120" w:after="120"/>
      </w:pPr>
      <w:bookmarkStart w:id="88" w:name="_Toc4211"/>
      <w:r>
        <w:rPr>
          <w:rFonts w:hint="eastAsia"/>
        </w:rPr>
        <w:t>工艺流程</w:t>
      </w:r>
      <w:bookmarkEnd w:id="88"/>
    </w:p>
    <w:p w14:paraId="62A80707">
      <w:pPr>
        <w:pStyle w:val="164"/>
        <w:numPr>
          <w:ilvl w:val="0"/>
          <w:numId w:val="0"/>
        </w:numPr>
        <w:ind w:firstLine="420" w:firstLineChars="200"/>
        <w:rPr>
          <w:rFonts w:hint="eastAsia"/>
        </w:rPr>
      </w:pPr>
      <w:r>
        <w:rPr>
          <w:rFonts w:hint="eastAsia"/>
          <w:color w:val="auto"/>
        </w:rPr>
        <w:t>下料→</w:t>
      </w:r>
      <w:r>
        <w:rPr>
          <w:rFonts w:hint="eastAsia"/>
          <w:color w:val="auto"/>
          <w:lang w:val="en-US" w:eastAsia="zh-CN"/>
        </w:rPr>
        <w:t>除锈</w:t>
      </w:r>
      <w:r>
        <w:rPr>
          <w:rFonts w:hint="eastAsia"/>
          <w:color w:val="auto"/>
        </w:rPr>
        <w:t>→加热→编链→焊接→去刺→热处理→预拉伸→测配→</w:t>
      </w:r>
      <w:r>
        <w:rPr>
          <w:rFonts w:hint="eastAsia"/>
          <w:color w:val="auto"/>
          <w:lang w:val="en-US" w:eastAsia="zh-CN"/>
        </w:rPr>
        <w:t>防锈处理</w:t>
      </w:r>
      <w:r>
        <w:rPr>
          <w:rFonts w:hint="eastAsia"/>
          <w:color w:val="auto"/>
        </w:rPr>
        <w:t>→检验入库</w:t>
      </w:r>
      <w:r>
        <w:rPr>
          <w:rFonts w:hint="eastAsia"/>
        </w:rPr>
        <w:t>。</w:t>
      </w:r>
    </w:p>
    <w:p w14:paraId="69CB8AAB">
      <w:pPr>
        <w:pStyle w:val="107"/>
        <w:spacing w:before="120" w:after="120"/>
        <w:rPr>
          <w:rFonts w:hint="eastAsia"/>
          <w:lang w:val="en-US" w:eastAsia="zh-CN"/>
        </w:rPr>
      </w:pPr>
      <w:bookmarkStart w:id="89" w:name="_Toc1169"/>
      <w:r>
        <w:rPr>
          <w:rFonts w:hint="eastAsia"/>
        </w:rPr>
        <w:t>下料</w:t>
      </w:r>
      <w:bookmarkEnd w:id="89"/>
    </w:p>
    <w:p w14:paraId="7628AF90">
      <w:pPr>
        <w:pStyle w:val="167"/>
        <w:ind w:left="0"/>
        <w:rPr>
          <w:rFonts w:hint="eastAsia"/>
          <w:lang w:val="en-US" w:eastAsia="zh-CN"/>
        </w:rPr>
      </w:pPr>
      <w:r>
        <w:rPr>
          <w:rFonts w:hint="eastAsia"/>
          <w:lang w:val="en-US" w:eastAsia="zh-CN"/>
        </w:rPr>
        <w:t>下料工序应使用压力机（如剪切机）或锯床按工艺长度切断</w:t>
      </w:r>
      <w:r>
        <w:rPr>
          <w:rFonts w:hint="eastAsia"/>
          <w:highlight w:val="none"/>
          <w:lang w:val="en-US" w:eastAsia="zh-CN"/>
        </w:rPr>
        <w:t>圆钢材料形成</w:t>
      </w:r>
      <w:r>
        <w:rPr>
          <w:rFonts w:hint="eastAsia"/>
          <w:color w:val="auto"/>
          <w:highlight w:val="none"/>
          <w:lang w:val="en-US" w:eastAsia="zh-CN"/>
        </w:rPr>
        <w:t>圆钢棒料</w:t>
      </w:r>
      <w:r>
        <w:rPr>
          <w:rFonts w:hint="eastAsia"/>
          <w:lang w:val="en-US" w:eastAsia="zh-CN"/>
        </w:rPr>
        <w:t>。</w:t>
      </w:r>
    </w:p>
    <w:p w14:paraId="53B43254">
      <w:pPr>
        <w:pStyle w:val="167"/>
        <w:ind w:left="0"/>
        <w:rPr>
          <w:rFonts w:hint="eastAsia"/>
          <w:lang w:val="en-US" w:eastAsia="zh-CN"/>
        </w:rPr>
      </w:pPr>
      <w:r>
        <w:rPr>
          <w:rFonts w:hint="eastAsia"/>
          <w:lang w:val="en-US" w:eastAsia="zh-CN"/>
        </w:rPr>
        <w:t>下料前宜去除</w:t>
      </w:r>
      <w:r>
        <w:rPr>
          <w:rFonts w:hint="eastAsia"/>
          <w:highlight w:val="none"/>
          <w:lang w:val="en-US" w:eastAsia="zh-CN"/>
        </w:rPr>
        <w:t>圆钢材料</w:t>
      </w:r>
      <w:r>
        <w:rPr>
          <w:rFonts w:hint="eastAsia"/>
          <w:lang w:val="en-US" w:eastAsia="zh-CN"/>
        </w:rPr>
        <w:t>端头不圆等缺陷部分，</w:t>
      </w:r>
      <w:r>
        <w:rPr>
          <w:rFonts w:hint="eastAsia"/>
          <w:color w:val="auto"/>
          <w:highlight w:val="none"/>
          <w:lang w:val="en-US" w:eastAsia="zh-CN"/>
        </w:rPr>
        <w:t>圆钢棒料</w:t>
      </w:r>
      <w:r>
        <w:rPr>
          <w:rFonts w:hint="eastAsia"/>
          <w:lang w:val="en-US" w:eastAsia="zh-CN"/>
        </w:rPr>
        <w:t>长度公差应符合相应技术文件或工艺要求。</w:t>
      </w:r>
    </w:p>
    <w:p w14:paraId="29DDB3B9">
      <w:pPr>
        <w:pStyle w:val="167"/>
        <w:ind w:left="0"/>
        <w:rPr>
          <w:rFonts w:hint="eastAsia"/>
          <w:lang w:val="en-US" w:eastAsia="zh-CN"/>
        </w:rPr>
      </w:pPr>
      <w:r>
        <w:rPr>
          <w:rFonts w:hint="eastAsia"/>
          <w:lang w:val="en-US" w:eastAsia="zh-CN"/>
        </w:rPr>
        <w:t>下料后切口应平整，端面平面度及端面与轴线的垂直度应满足后续编链工序要求，表面无明显毛刺。</w:t>
      </w:r>
    </w:p>
    <w:p w14:paraId="4D47AB62">
      <w:pPr>
        <w:pStyle w:val="167"/>
        <w:ind w:left="0"/>
        <w:rPr>
          <w:rFonts w:hint="eastAsia"/>
          <w:lang w:val="en-US" w:eastAsia="zh-CN"/>
        </w:rPr>
      </w:pPr>
      <w:r>
        <w:rPr>
          <w:rFonts w:hint="eastAsia"/>
          <w:lang w:val="en-US" w:eastAsia="zh-CN"/>
        </w:rPr>
        <w:t>采用锯床下料时，若发现锯切火花或铁屑颜色异常变化，应及时检查锯片磨损情况并更换，以保证切口质量。</w:t>
      </w:r>
    </w:p>
    <w:p w14:paraId="419C36D2">
      <w:pPr>
        <w:pStyle w:val="107"/>
        <w:spacing w:before="120" w:after="120"/>
        <w:rPr>
          <w:rFonts w:hint="eastAsia"/>
          <w:lang w:val="en-US" w:eastAsia="zh-CN"/>
        </w:rPr>
      </w:pPr>
      <w:bookmarkStart w:id="90" w:name="_Toc30706"/>
      <w:r>
        <w:rPr>
          <w:rFonts w:hint="eastAsia"/>
          <w:lang w:val="en-US" w:eastAsia="zh-CN"/>
        </w:rPr>
        <w:t>除锈</w:t>
      </w:r>
      <w:bookmarkEnd w:id="90"/>
    </w:p>
    <w:p w14:paraId="2BA335FD">
      <w:pPr>
        <w:pStyle w:val="167"/>
        <w:ind w:left="0"/>
        <w:rPr>
          <w:rFonts w:hint="eastAsia"/>
          <w:lang w:val="en-US" w:eastAsia="zh-CN"/>
        </w:rPr>
      </w:pPr>
      <w:r>
        <w:rPr>
          <w:rFonts w:hint="eastAsia"/>
          <w:lang w:val="en-US" w:eastAsia="zh-CN"/>
        </w:rPr>
        <w:t>除锈工序宜采用抛丸设备对下料后的</w:t>
      </w:r>
      <w:r>
        <w:rPr>
          <w:rFonts w:hint="eastAsia"/>
          <w:color w:val="auto"/>
          <w:highlight w:val="none"/>
          <w:lang w:val="en-US" w:eastAsia="zh-CN"/>
        </w:rPr>
        <w:t>圆钢棒料</w:t>
      </w:r>
      <w:r>
        <w:rPr>
          <w:rFonts w:hint="eastAsia"/>
          <w:lang w:val="en-US" w:eastAsia="zh-CN"/>
        </w:rPr>
        <w:t>进行清理，去除表面氧化皮及锈蚀，使</w:t>
      </w:r>
      <w:r>
        <w:rPr>
          <w:rFonts w:hint="eastAsia"/>
          <w:color w:val="auto"/>
          <w:highlight w:val="none"/>
          <w:lang w:val="en-US" w:eastAsia="zh-CN"/>
        </w:rPr>
        <w:t>圆钢棒料</w:t>
      </w:r>
      <w:r>
        <w:rPr>
          <w:rFonts w:hint="eastAsia"/>
          <w:lang w:val="en-US" w:eastAsia="zh-CN"/>
        </w:rPr>
        <w:t>表面露出金属光泽，以满足后续编链和焊接工艺对导电性的要求。</w:t>
      </w:r>
    </w:p>
    <w:p w14:paraId="6AEDA936">
      <w:pPr>
        <w:pStyle w:val="167"/>
        <w:ind w:left="0"/>
        <w:rPr>
          <w:rFonts w:hint="eastAsia"/>
          <w:lang w:val="en-US" w:eastAsia="zh-CN"/>
        </w:rPr>
      </w:pPr>
      <w:r>
        <w:rPr>
          <w:rFonts w:hint="eastAsia"/>
          <w:lang w:val="en-US" w:eastAsia="zh-CN"/>
        </w:rPr>
        <w:t>操作中应随时观察抛丸设备驱动电机的电流值，当电流低于设备正常运行范围时，应及时补充钢砂，以保证清理效果。</w:t>
      </w:r>
    </w:p>
    <w:p w14:paraId="03EEF602">
      <w:pPr>
        <w:pStyle w:val="107"/>
        <w:spacing w:before="120" w:after="120"/>
        <w:rPr>
          <w:rFonts w:hint="eastAsia"/>
        </w:rPr>
      </w:pPr>
      <w:bookmarkStart w:id="91" w:name="_Toc30545"/>
      <w:r>
        <w:rPr>
          <w:rFonts w:hint="eastAsia"/>
        </w:rPr>
        <w:t>加热</w:t>
      </w:r>
      <w:bookmarkEnd w:id="91"/>
    </w:p>
    <w:p w14:paraId="22EC5964">
      <w:pPr>
        <w:pStyle w:val="167"/>
        <w:numPr>
          <w:numId w:val="0"/>
        </w:numPr>
        <w:ind w:leftChars="0" w:firstLine="420" w:firstLineChars="200"/>
        <w:rPr>
          <w:rFonts w:hint="eastAsia"/>
          <w:lang w:val="en-US" w:eastAsia="zh-CN"/>
        </w:rPr>
      </w:pPr>
      <w:r>
        <w:rPr>
          <w:rFonts w:hint="eastAsia"/>
          <w:lang w:val="en-US" w:eastAsia="zh-CN"/>
        </w:rPr>
        <w:t>加热温度与加热时间应符合技术文件工艺参数范围的规定。</w:t>
      </w:r>
    </w:p>
    <w:p w14:paraId="675F6120">
      <w:pPr>
        <w:pStyle w:val="107"/>
        <w:spacing w:before="120" w:after="120"/>
      </w:pPr>
      <w:bookmarkStart w:id="92" w:name="_Toc21154"/>
      <w:r>
        <w:rPr>
          <w:rFonts w:hint="eastAsia"/>
        </w:rPr>
        <w:t>编链</w:t>
      </w:r>
      <w:bookmarkEnd w:id="92"/>
    </w:p>
    <w:p w14:paraId="4EA3ACB3">
      <w:pPr>
        <w:pStyle w:val="167"/>
        <w:ind w:left="0"/>
        <w:rPr>
          <w:rFonts w:hint="eastAsia"/>
        </w:rPr>
      </w:pPr>
      <w:r>
        <w:rPr>
          <w:rFonts w:hint="eastAsia"/>
        </w:rPr>
        <w:t>编链时应保证链环几何形状符合</w:t>
      </w:r>
      <w:r>
        <w:rPr>
          <w:rFonts w:hint="eastAsia"/>
          <w:lang w:val="en-US" w:eastAsia="zh-CN"/>
        </w:rPr>
        <w:t>技术文件</w:t>
      </w:r>
      <w:r>
        <w:rPr>
          <w:rFonts w:hint="eastAsia"/>
        </w:rPr>
        <w:t>要求</w:t>
      </w:r>
      <w:r>
        <w:rPr>
          <w:rFonts w:hint="eastAsia"/>
          <w:lang w:eastAsia="zh-CN"/>
        </w:rPr>
        <w:t>。</w:t>
      </w:r>
    </w:p>
    <w:p w14:paraId="6B7F98AD">
      <w:pPr>
        <w:pStyle w:val="167"/>
        <w:ind w:left="0"/>
        <w:rPr>
          <w:rFonts w:hint="eastAsia"/>
        </w:rPr>
      </w:pPr>
      <w:r>
        <w:rPr>
          <w:rFonts w:hint="eastAsia"/>
          <w:lang w:val="en-US" w:eastAsia="zh-CN"/>
        </w:rPr>
        <w:t>链环开</w:t>
      </w:r>
      <w:r>
        <w:rPr>
          <w:rFonts w:hint="eastAsia"/>
        </w:rPr>
        <w:t>口处</w:t>
      </w:r>
      <w:r>
        <w:rPr>
          <w:rFonts w:hint="eastAsia"/>
          <w:lang w:val="en-US" w:eastAsia="zh-CN"/>
        </w:rPr>
        <w:t>间隙尺</w:t>
      </w:r>
      <w:r>
        <w:rPr>
          <w:rFonts w:hint="eastAsia"/>
          <w:highlight w:val="none"/>
          <w:lang w:val="en-US" w:eastAsia="zh-CN"/>
        </w:rPr>
        <w:t>寸、</w:t>
      </w:r>
      <w:r>
        <w:rPr>
          <w:rFonts w:hint="eastAsia"/>
          <w:color w:val="auto"/>
          <w:highlight w:val="none"/>
        </w:rPr>
        <w:t>错</w:t>
      </w:r>
      <w:r>
        <w:rPr>
          <w:rFonts w:hint="eastAsia"/>
          <w:color w:val="auto"/>
          <w:highlight w:val="none"/>
          <w:lang w:val="en-US" w:eastAsia="zh-CN"/>
        </w:rPr>
        <w:t>口</w:t>
      </w:r>
      <w:r>
        <w:rPr>
          <w:rFonts w:hint="eastAsia"/>
          <w:color w:val="auto"/>
          <w:highlight w:val="none"/>
        </w:rPr>
        <w:t>量</w:t>
      </w:r>
      <w:r>
        <w:rPr>
          <w:rFonts w:hint="eastAsia"/>
          <w:highlight w:val="none"/>
          <w:lang w:val="en-US" w:eastAsia="zh-CN"/>
        </w:rPr>
        <w:t>应符</w:t>
      </w:r>
      <w:r>
        <w:rPr>
          <w:rFonts w:hint="eastAsia"/>
          <w:lang w:val="en-US" w:eastAsia="zh-CN"/>
        </w:rPr>
        <w:t>合技术</w:t>
      </w:r>
      <w:r>
        <w:rPr>
          <w:rFonts w:hint="eastAsia"/>
        </w:rPr>
        <w:t>文件</w:t>
      </w:r>
      <w:r>
        <w:rPr>
          <w:rFonts w:hint="eastAsia"/>
          <w:lang w:val="en-US" w:eastAsia="zh-CN"/>
        </w:rPr>
        <w:t>要求</w:t>
      </w:r>
      <w:r>
        <w:rPr>
          <w:rFonts w:hint="eastAsia"/>
        </w:rPr>
        <w:t>。</w:t>
      </w:r>
    </w:p>
    <w:p w14:paraId="41C580F1">
      <w:pPr>
        <w:pStyle w:val="167"/>
        <w:ind w:left="0"/>
        <w:rPr>
          <w:rFonts w:hint="eastAsia"/>
          <w:color w:val="auto"/>
        </w:rPr>
      </w:pPr>
      <w:r>
        <w:rPr>
          <w:rFonts w:hint="eastAsia"/>
          <w:color w:val="auto"/>
        </w:rPr>
        <w:t>相邻链环应</w:t>
      </w:r>
      <w:r>
        <w:rPr>
          <w:rFonts w:hint="eastAsia"/>
          <w:color w:val="auto"/>
          <w:lang w:val="en-US" w:eastAsia="zh-CN"/>
        </w:rPr>
        <w:t>交替编结</w:t>
      </w:r>
      <w:r>
        <w:rPr>
          <w:rFonts w:hint="eastAsia"/>
          <w:color w:val="auto"/>
        </w:rPr>
        <w:t>，</w:t>
      </w:r>
      <w:r>
        <w:rPr>
          <w:rFonts w:hint="eastAsia"/>
          <w:color w:val="auto"/>
          <w:lang w:val="en-US" w:eastAsia="zh-CN"/>
        </w:rPr>
        <w:t>平（立）环开</w:t>
      </w:r>
      <w:r>
        <w:rPr>
          <w:rFonts w:hint="eastAsia"/>
          <w:color w:val="auto"/>
        </w:rPr>
        <w:t>口</w:t>
      </w:r>
      <w:r>
        <w:rPr>
          <w:rFonts w:hint="eastAsia"/>
          <w:color w:val="auto"/>
          <w:lang w:val="en-US" w:eastAsia="zh-CN"/>
        </w:rPr>
        <w:t>位于同一侧</w:t>
      </w:r>
      <w:r>
        <w:rPr>
          <w:rFonts w:hint="eastAsia"/>
          <w:color w:val="auto"/>
        </w:rPr>
        <w:t>。</w:t>
      </w:r>
    </w:p>
    <w:p w14:paraId="20D2A55C">
      <w:pPr>
        <w:pStyle w:val="167"/>
        <w:ind w:left="0"/>
        <w:rPr>
          <w:rFonts w:hint="eastAsia"/>
          <w:color w:val="auto"/>
        </w:rPr>
      </w:pPr>
      <w:r>
        <w:rPr>
          <w:rFonts w:hint="eastAsia"/>
          <w:color w:val="auto"/>
          <w:lang w:val="en-US" w:eastAsia="zh-CN"/>
        </w:rPr>
        <w:t>所编链环不应有偏口、合模棱台、啃伤、压伤、弓背等质量缺陷。</w:t>
      </w:r>
    </w:p>
    <w:p w14:paraId="5846B18D">
      <w:pPr>
        <w:pStyle w:val="167"/>
        <w:ind w:left="0"/>
        <w:rPr>
          <w:rFonts w:hint="eastAsia"/>
          <w:color w:val="auto"/>
        </w:rPr>
      </w:pPr>
      <w:r>
        <w:rPr>
          <w:rFonts w:hint="eastAsia"/>
          <w:color w:val="auto"/>
          <w:lang w:val="en-US" w:eastAsia="zh-CN"/>
        </w:rPr>
        <w:t>编链</w:t>
      </w:r>
      <w:r>
        <w:rPr>
          <w:rFonts w:hint="eastAsia"/>
          <w:color w:val="auto"/>
        </w:rPr>
        <w:t>后各链环应转动灵活，无卡滞。</w:t>
      </w:r>
    </w:p>
    <w:p w14:paraId="55FF74BB">
      <w:pPr>
        <w:pStyle w:val="167"/>
        <w:ind w:left="0"/>
        <w:rPr>
          <w:rFonts w:hint="eastAsia"/>
        </w:rPr>
      </w:pPr>
      <w:r>
        <w:rPr>
          <w:rFonts w:hint="eastAsia"/>
          <w:lang w:val="en-US" w:eastAsia="zh-CN"/>
        </w:rPr>
        <w:t>宜在链环直臂中央打印永久性厂家标识。</w:t>
      </w:r>
    </w:p>
    <w:p w14:paraId="1B195954">
      <w:pPr>
        <w:pStyle w:val="107"/>
        <w:spacing w:before="120" w:after="120"/>
      </w:pPr>
      <w:bookmarkStart w:id="93" w:name="_Toc17046"/>
      <w:r>
        <w:rPr>
          <w:rFonts w:hint="eastAsia"/>
        </w:rPr>
        <w:t>焊接</w:t>
      </w:r>
      <w:bookmarkEnd w:id="93"/>
    </w:p>
    <w:p w14:paraId="21618FCA">
      <w:pPr>
        <w:pStyle w:val="167"/>
        <w:ind w:left="0"/>
        <w:rPr>
          <w:rFonts w:hint="eastAsia"/>
        </w:rPr>
      </w:pPr>
      <w:r>
        <w:rPr>
          <w:rFonts w:hint="eastAsia"/>
          <w:lang w:val="en-US" w:eastAsia="zh-CN"/>
        </w:rPr>
        <w:t>采用热编热焊完成链条的编链与焊接</w:t>
      </w:r>
      <w:r>
        <w:rPr>
          <w:rFonts w:hint="eastAsia"/>
        </w:rPr>
        <w:t>。</w:t>
      </w:r>
    </w:p>
    <w:p w14:paraId="31D21A08">
      <w:pPr>
        <w:pStyle w:val="167"/>
        <w:ind w:left="0"/>
        <w:rPr>
          <w:rFonts w:hint="eastAsia"/>
          <w:lang w:val="en-US" w:eastAsia="zh-CN"/>
        </w:rPr>
      </w:pPr>
      <w:r>
        <w:rPr>
          <w:rFonts w:hint="eastAsia"/>
        </w:rPr>
        <w:t>闪光对焊</w:t>
      </w:r>
      <w:r>
        <w:rPr>
          <w:rFonts w:hint="eastAsia"/>
          <w:lang w:val="en-US" w:eastAsia="zh-CN"/>
        </w:rPr>
        <w:t>的焊接电流、烧化量、顶锻量、烧化速度等工艺参数应符合相应的技术文件要求。</w:t>
      </w:r>
    </w:p>
    <w:p w14:paraId="296B4B18">
      <w:pPr>
        <w:pStyle w:val="167"/>
        <w:ind w:left="0"/>
        <w:rPr>
          <w:rFonts w:hint="eastAsia"/>
        </w:rPr>
      </w:pPr>
      <w:r>
        <w:rPr>
          <w:rFonts w:hint="eastAsia"/>
          <w:lang w:val="en-US" w:eastAsia="zh-CN"/>
        </w:rPr>
        <w:t>焊接程序选用应根据对应设备及技术文件</w:t>
      </w:r>
      <w:r>
        <w:rPr>
          <w:rFonts w:hint="eastAsia"/>
          <w:color w:val="auto"/>
          <w:highlight w:val="none"/>
          <w:lang w:val="en-US" w:eastAsia="zh-CN"/>
        </w:rPr>
        <w:t>要求</w:t>
      </w:r>
      <w:r>
        <w:rPr>
          <w:rFonts w:hint="eastAsia"/>
          <w:lang w:val="en-US" w:eastAsia="zh-CN"/>
        </w:rPr>
        <w:t>进行。</w:t>
      </w:r>
    </w:p>
    <w:p w14:paraId="662ABE98">
      <w:pPr>
        <w:pStyle w:val="167"/>
        <w:ind w:left="0"/>
        <w:rPr>
          <w:rFonts w:hint="eastAsia"/>
        </w:rPr>
      </w:pPr>
      <w:r>
        <w:rPr>
          <w:rFonts w:hint="eastAsia"/>
          <w:lang w:val="en-US" w:eastAsia="zh-CN"/>
        </w:rPr>
        <w:t>焊接</w:t>
      </w:r>
      <w:r>
        <w:rPr>
          <w:rFonts w:hint="eastAsia"/>
          <w:color w:val="auto"/>
          <w:highlight w:val="none"/>
          <w:lang w:val="en-US" w:eastAsia="zh-CN"/>
        </w:rPr>
        <w:t>前应核对焊接程序，检测钳口距离，检查变压器、冷却器、电极等高温点的冷却水是否通畅无漏水，并确保焊口无氧化皮、夹渣等异物。</w:t>
      </w:r>
    </w:p>
    <w:p w14:paraId="236665F5">
      <w:pPr>
        <w:pStyle w:val="167"/>
        <w:ind w:left="0"/>
        <w:rPr>
          <w:rFonts w:hint="eastAsia"/>
          <w:highlight w:val="none"/>
        </w:rPr>
      </w:pPr>
      <w:r>
        <w:rPr>
          <w:rFonts w:hint="eastAsia"/>
          <w:highlight w:val="none"/>
        </w:rPr>
        <w:t>焊接应符合GB/T 12718—2009中5.3的规定，焊口应位于直边中心位置</w:t>
      </w:r>
      <w:r>
        <w:rPr>
          <w:rFonts w:hint="eastAsia"/>
          <w:highlight w:val="none"/>
          <w:lang w:eastAsia="zh-CN"/>
        </w:rPr>
        <w:t>。</w:t>
      </w:r>
    </w:p>
    <w:p w14:paraId="5C7026E2">
      <w:pPr>
        <w:pStyle w:val="167"/>
        <w:ind w:left="0"/>
        <w:rPr>
          <w:rFonts w:hint="eastAsia"/>
          <w:highlight w:val="none"/>
        </w:rPr>
      </w:pPr>
      <w:r>
        <w:rPr>
          <w:rFonts w:hint="eastAsia"/>
          <w:lang w:val="en-US" w:eastAsia="zh-CN"/>
        </w:rPr>
        <w:t>焊接生产过程中宜随时检</w:t>
      </w:r>
      <w:r>
        <w:rPr>
          <w:rFonts w:hint="eastAsia"/>
          <w:highlight w:val="none"/>
          <w:lang w:val="en-US" w:eastAsia="zh-CN"/>
        </w:rPr>
        <w:t>查焊接曲线，监控参数稳定性。</w:t>
      </w:r>
    </w:p>
    <w:p w14:paraId="68B17EEA">
      <w:pPr>
        <w:pStyle w:val="167"/>
        <w:ind w:left="0"/>
        <w:rPr>
          <w:rFonts w:hint="eastAsia"/>
          <w:highlight w:val="none"/>
        </w:rPr>
      </w:pPr>
      <w:r>
        <w:rPr>
          <w:rFonts w:hint="eastAsia"/>
          <w:highlight w:val="none"/>
          <w:lang w:val="en-US" w:eastAsia="zh-CN"/>
        </w:rPr>
        <w:t>焊接后</w:t>
      </w:r>
      <w:r>
        <w:rPr>
          <w:rFonts w:hint="eastAsia"/>
          <w:highlight w:val="none"/>
        </w:rPr>
        <w:t>焊缝区域应应饱满</w:t>
      </w:r>
      <w:r>
        <w:rPr>
          <w:rFonts w:hint="eastAsia"/>
          <w:highlight w:val="none"/>
          <w:lang w:eastAsia="zh-CN"/>
        </w:rPr>
        <w:t>、</w:t>
      </w:r>
      <w:r>
        <w:rPr>
          <w:rFonts w:hint="eastAsia"/>
          <w:highlight w:val="none"/>
        </w:rPr>
        <w:t>无裂纹、未焊透、严重气孔</w:t>
      </w:r>
      <w:r>
        <w:rPr>
          <w:rFonts w:hint="eastAsia"/>
          <w:highlight w:val="none"/>
          <w:lang w:eastAsia="zh-CN"/>
        </w:rPr>
        <w:t>、</w:t>
      </w:r>
      <w:r>
        <w:rPr>
          <w:rFonts w:hint="eastAsia"/>
          <w:highlight w:val="none"/>
        </w:rPr>
        <w:t>过烧</w:t>
      </w:r>
      <w:r>
        <w:rPr>
          <w:rFonts w:hint="eastAsia"/>
          <w:highlight w:val="none"/>
        </w:rPr>
        <w:t>等缺陷。</w:t>
      </w:r>
    </w:p>
    <w:p w14:paraId="7DF72510">
      <w:pPr>
        <w:pStyle w:val="107"/>
        <w:spacing w:before="120" w:after="120"/>
        <w:rPr>
          <w:highlight w:val="none"/>
        </w:rPr>
      </w:pPr>
      <w:bookmarkStart w:id="94" w:name="_Toc629"/>
      <w:r>
        <w:rPr>
          <w:rFonts w:hint="eastAsia"/>
          <w:highlight w:val="none"/>
        </w:rPr>
        <w:t>去刺</w:t>
      </w:r>
      <w:bookmarkEnd w:id="94"/>
    </w:p>
    <w:p w14:paraId="390D23E8">
      <w:pPr>
        <w:pStyle w:val="167"/>
        <w:ind w:left="0"/>
        <w:rPr>
          <w:rFonts w:hint="eastAsia"/>
          <w:highlight w:val="none"/>
        </w:rPr>
      </w:pPr>
      <w:r>
        <w:rPr>
          <w:rFonts w:hint="eastAsia"/>
          <w:highlight w:val="none"/>
        </w:rPr>
        <w:t>使用专用去刺设备一次完成，清除焊口周围毛刺。</w:t>
      </w:r>
    </w:p>
    <w:p w14:paraId="759EDE68">
      <w:pPr>
        <w:pStyle w:val="167"/>
        <w:ind w:left="0"/>
        <w:rPr>
          <w:rFonts w:hint="eastAsia"/>
          <w:highlight w:val="none"/>
        </w:rPr>
      </w:pPr>
      <w:r>
        <w:rPr>
          <w:rFonts w:hint="eastAsia"/>
          <w:highlight w:val="none"/>
        </w:rPr>
        <w:t>不应损伤链环母材，去刺区域与母材之间应平滑过渡。</w:t>
      </w:r>
    </w:p>
    <w:p w14:paraId="00F32024">
      <w:pPr>
        <w:pStyle w:val="167"/>
        <w:ind w:left="0"/>
        <w:rPr>
          <w:rFonts w:hint="eastAsia"/>
          <w:highlight w:val="none"/>
        </w:rPr>
      </w:pPr>
      <w:r>
        <w:rPr>
          <w:rFonts w:hint="eastAsia"/>
          <w:highlight w:val="none"/>
        </w:rPr>
        <w:t>去刺后焊接处最大直径</w:t>
      </w:r>
      <w:r>
        <w:rPr>
          <w:rFonts w:hint="eastAsia"/>
          <w:highlight w:val="none"/>
        </w:rPr>
        <w:t>应符合GB/T 12718—2009中5.3.</w:t>
      </w:r>
      <w:r>
        <w:rPr>
          <w:rFonts w:hint="eastAsia"/>
          <w:highlight w:val="none"/>
          <w:lang w:val="en-US" w:eastAsia="zh-CN"/>
        </w:rPr>
        <w:t>1</w:t>
      </w:r>
      <w:r>
        <w:rPr>
          <w:rFonts w:hint="eastAsia"/>
          <w:highlight w:val="none"/>
        </w:rPr>
        <w:t>的规定。</w:t>
      </w:r>
    </w:p>
    <w:p w14:paraId="250607E0">
      <w:pPr>
        <w:pStyle w:val="167"/>
        <w:ind w:left="0"/>
        <w:rPr>
          <w:rFonts w:hint="eastAsia"/>
          <w:highlight w:val="none"/>
        </w:rPr>
      </w:pPr>
      <w:r>
        <w:rPr>
          <w:rFonts w:hint="eastAsia"/>
          <w:highlight w:val="none"/>
        </w:rPr>
        <w:t>去刺</w:t>
      </w:r>
      <w:r>
        <w:rPr>
          <w:rFonts w:hint="eastAsia"/>
          <w:highlight w:val="none"/>
        </w:rPr>
        <w:t>后焊缝区域应饱满、无严重挂渣</w:t>
      </w:r>
      <w:r>
        <w:rPr>
          <w:rFonts w:hint="eastAsia"/>
          <w:highlight w:val="none"/>
          <w:lang w:val="en-US" w:eastAsia="zh-CN"/>
        </w:rPr>
        <w:t>与</w:t>
      </w:r>
      <w:r>
        <w:rPr>
          <w:rFonts w:hint="eastAsia"/>
          <w:highlight w:val="none"/>
        </w:rPr>
        <w:t>划伤</w:t>
      </w:r>
      <w:r>
        <w:rPr>
          <w:rFonts w:hint="eastAsia"/>
          <w:highlight w:val="none"/>
        </w:rPr>
        <w:t>。</w:t>
      </w:r>
    </w:p>
    <w:p w14:paraId="3E7232CA">
      <w:pPr>
        <w:pStyle w:val="167"/>
        <w:ind w:left="0"/>
        <w:rPr>
          <w:rFonts w:hint="eastAsia"/>
          <w:highlight w:val="none"/>
        </w:rPr>
      </w:pPr>
      <w:r>
        <w:rPr>
          <w:rFonts w:hint="eastAsia"/>
          <w:highlight w:val="none"/>
        </w:rPr>
        <w:t>去刺后链环应无弓背、错口、偏口等外观缺陷。</w:t>
      </w:r>
    </w:p>
    <w:p w14:paraId="3FBE5D78">
      <w:pPr>
        <w:pStyle w:val="107"/>
        <w:spacing w:before="120" w:after="120"/>
      </w:pPr>
      <w:bookmarkStart w:id="95" w:name="_Toc4948"/>
      <w:r>
        <w:rPr>
          <w:rFonts w:hint="eastAsia"/>
        </w:rPr>
        <w:t>热处理</w:t>
      </w:r>
      <w:bookmarkEnd w:id="95"/>
    </w:p>
    <w:p w14:paraId="443F553C">
      <w:pPr>
        <w:pStyle w:val="167"/>
        <w:ind w:left="0"/>
        <w:rPr>
          <w:rFonts w:hint="eastAsia"/>
          <w:color w:val="auto"/>
        </w:rPr>
      </w:pPr>
      <w:r>
        <w:rPr>
          <w:rFonts w:hint="eastAsia"/>
          <w:color w:val="auto"/>
        </w:rPr>
        <w:t>热处理采用</w:t>
      </w:r>
      <w:r>
        <w:rPr>
          <w:rFonts w:hint="eastAsia"/>
          <w:color w:val="auto"/>
          <w:lang w:val="en-US" w:eastAsia="zh-CN"/>
        </w:rPr>
        <w:t>连续</w:t>
      </w:r>
      <w:r>
        <w:rPr>
          <w:rFonts w:hint="eastAsia"/>
          <w:color w:val="auto"/>
        </w:rPr>
        <w:t>中频</w:t>
      </w:r>
      <w:r>
        <w:rPr>
          <w:rFonts w:hint="eastAsia"/>
          <w:color w:val="auto"/>
          <w:lang w:val="en-US" w:eastAsia="zh-CN"/>
        </w:rPr>
        <w:t>感应</w:t>
      </w:r>
      <w:r>
        <w:rPr>
          <w:rFonts w:hint="eastAsia"/>
          <w:color w:val="auto"/>
        </w:rPr>
        <w:t>热处理</w:t>
      </w:r>
      <w:r>
        <w:rPr>
          <w:rFonts w:hint="eastAsia"/>
          <w:color w:val="auto"/>
          <w:lang w:val="en-US" w:eastAsia="zh-CN"/>
        </w:rPr>
        <w:t>方式</w:t>
      </w:r>
      <w:r>
        <w:rPr>
          <w:rFonts w:hint="eastAsia"/>
          <w:color w:val="auto"/>
        </w:rPr>
        <w:t>，</w:t>
      </w:r>
      <w:r>
        <w:rPr>
          <w:rFonts w:hint="eastAsia"/>
          <w:color w:val="auto"/>
          <w:lang w:val="en-US" w:eastAsia="zh-CN"/>
        </w:rPr>
        <w:t>宜选用感应</w:t>
      </w:r>
      <w:r>
        <w:rPr>
          <w:rFonts w:hint="eastAsia"/>
          <w:color w:val="auto"/>
        </w:rPr>
        <w:t>淬火</w:t>
      </w:r>
      <w:r>
        <w:rPr>
          <w:rFonts w:hint="eastAsia"/>
          <w:color w:val="auto"/>
          <w:lang w:val="en-US" w:eastAsia="zh-CN"/>
        </w:rPr>
        <w:t>+</w:t>
      </w:r>
      <w:r>
        <w:rPr>
          <w:rFonts w:hint="eastAsia"/>
          <w:color w:val="auto"/>
        </w:rPr>
        <w:t>回火</w:t>
      </w:r>
      <w:r>
        <w:rPr>
          <w:rFonts w:hint="eastAsia"/>
          <w:color w:val="auto"/>
          <w:lang w:eastAsia="zh-CN"/>
        </w:rPr>
        <w:t>。</w:t>
      </w:r>
    </w:p>
    <w:p w14:paraId="3388F055">
      <w:pPr>
        <w:pStyle w:val="167"/>
        <w:ind w:left="0"/>
        <w:rPr>
          <w:rFonts w:hint="eastAsia"/>
          <w:strike w:val="0"/>
          <w:dstrike w:val="0"/>
          <w:color w:val="auto"/>
          <w:highlight w:val="none"/>
        </w:rPr>
      </w:pPr>
      <w:r>
        <w:rPr>
          <w:rFonts w:hint="eastAsia"/>
          <w:strike w:val="0"/>
          <w:dstrike w:val="0"/>
          <w:color w:val="auto"/>
          <w:highlight w:val="none"/>
        </w:rPr>
        <w:t>淬火、回火加热温度依据链环直径及材料牌号确定，并按经批准的工艺文件执行。</w:t>
      </w:r>
    </w:p>
    <w:p w14:paraId="5C15E407">
      <w:pPr>
        <w:pStyle w:val="167"/>
        <w:ind w:left="0"/>
        <w:rPr>
          <w:rFonts w:hint="eastAsia"/>
          <w:color w:val="auto"/>
        </w:rPr>
      </w:pPr>
      <w:r>
        <w:rPr>
          <w:rFonts w:hint="eastAsia"/>
          <w:color w:val="auto"/>
          <w:lang w:val="en-US" w:eastAsia="zh-CN"/>
        </w:rPr>
        <w:t>淬火</w:t>
      </w:r>
      <w:r>
        <w:rPr>
          <w:rFonts w:hint="eastAsia"/>
          <w:color w:val="auto"/>
        </w:rPr>
        <w:t>介质温度控制在工艺规定范围内。</w:t>
      </w:r>
    </w:p>
    <w:p w14:paraId="2AE48C18">
      <w:pPr>
        <w:pStyle w:val="167"/>
        <w:ind w:left="0"/>
        <w:rPr>
          <w:rFonts w:hint="eastAsia"/>
          <w:color w:val="auto"/>
        </w:rPr>
      </w:pPr>
      <w:r>
        <w:rPr>
          <w:rFonts w:hint="eastAsia"/>
          <w:color w:val="auto"/>
        </w:rPr>
        <w:t>淬</w:t>
      </w:r>
      <w:r>
        <w:rPr>
          <w:rFonts w:hint="eastAsia"/>
          <w:color w:val="auto"/>
          <w:lang w:val="en-US" w:eastAsia="zh-CN"/>
        </w:rPr>
        <w:t>火</w:t>
      </w:r>
      <w:r>
        <w:rPr>
          <w:rFonts w:hint="eastAsia"/>
          <w:color w:val="auto"/>
          <w:lang w:eastAsia="zh-CN"/>
        </w:rPr>
        <w:t>、</w:t>
      </w:r>
      <w:r>
        <w:rPr>
          <w:rFonts w:hint="eastAsia"/>
          <w:color w:val="auto"/>
        </w:rPr>
        <w:t>回火链速依据链环规格设定，</w:t>
      </w:r>
      <w:r>
        <w:rPr>
          <w:rFonts w:hint="eastAsia"/>
          <w:color w:val="auto"/>
          <w:lang w:val="en-US" w:eastAsia="zh-CN"/>
        </w:rPr>
        <w:t>按相应的技术文件要求</w:t>
      </w:r>
      <w:r>
        <w:rPr>
          <w:rFonts w:hint="eastAsia"/>
          <w:color w:val="auto"/>
        </w:rPr>
        <w:t>执行。</w:t>
      </w:r>
    </w:p>
    <w:p w14:paraId="0A008C7A">
      <w:pPr>
        <w:pStyle w:val="167"/>
        <w:ind w:left="0"/>
        <w:rPr>
          <w:rFonts w:hint="eastAsia"/>
          <w:color w:val="auto"/>
        </w:rPr>
      </w:pPr>
      <w:r>
        <w:rPr>
          <w:rFonts w:hint="eastAsia"/>
          <w:color w:val="auto"/>
        </w:rPr>
        <w:t>回火后应对链环进行硬度抽检，检验频次及数量按工艺文件规定执行。</w:t>
      </w:r>
    </w:p>
    <w:p w14:paraId="773296CA">
      <w:pPr>
        <w:pStyle w:val="167"/>
        <w:ind w:left="0"/>
        <w:rPr>
          <w:rFonts w:hint="eastAsia"/>
          <w:color w:val="auto"/>
        </w:rPr>
      </w:pPr>
      <w:r>
        <w:rPr>
          <w:rFonts w:hint="eastAsia"/>
          <w:color w:val="auto"/>
        </w:rPr>
        <w:t>特殊材料（如含B、V等微合金元素）应根据材料供应商推荐的热处理工艺参数经工艺验证后</w:t>
      </w:r>
      <w:r>
        <w:rPr>
          <w:rFonts w:hint="eastAsia"/>
          <w:color w:val="auto"/>
          <w:lang w:eastAsia="zh-CN"/>
        </w:rPr>
        <w:t>，</w:t>
      </w:r>
      <w:r>
        <w:rPr>
          <w:rFonts w:hint="eastAsia"/>
          <w:color w:val="auto"/>
          <w:lang w:val="en-US" w:eastAsia="zh-CN"/>
        </w:rPr>
        <w:t>按相应的技术文件要求</w:t>
      </w:r>
      <w:r>
        <w:rPr>
          <w:rFonts w:hint="eastAsia"/>
          <w:color w:val="auto"/>
        </w:rPr>
        <w:t>执行。</w:t>
      </w:r>
    </w:p>
    <w:p w14:paraId="554EAD78">
      <w:pPr>
        <w:pStyle w:val="167"/>
        <w:ind w:left="0"/>
        <w:rPr>
          <w:rFonts w:hint="eastAsia"/>
          <w:color w:val="auto"/>
        </w:rPr>
      </w:pPr>
      <w:r>
        <w:rPr>
          <w:rFonts w:hint="eastAsia"/>
          <w:color w:val="auto"/>
        </w:rPr>
        <w:t>热处理后链环硬度应符合</w:t>
      </w:r>
      <w:r>
        <w:rPr>
          <w:rFonts w:hint="eastAsia"/>
          <w:color w:val="auto"/>
          <w:lang w:val="en-US" w:eastAsia="zh-CN"/>
        </w:rPr>
        <w:t>技术文件要求</w:t>
      </w:r>
      <w:r>
        <w:rPr>
          <w:rFonts w:hint="eastAsia"/>
          <w:color w:val="auto"/>
        </w:rPr>
        <w:t>。</w:t>
      </w:r>
    </w:p>
    <w:p w14:paraId="7FEA9DBE">
      <w:pPr>
        <w:pStyle w:val="107"/>
        <w:spacing w:before="120" w:after="120"/>
      </w:pPr>
      <w:bookmarkStart w:id="96" w:name="_Toc12339"/>
      <w:r>
        <w:rPr>
          <w:rFonts w:hint="eastAsia"/>
          <w:lang w:val="en-US" w:eastAsia="zh-CN"/>
        </w:rPr>
        <w:t>预拉伸</w:t>
      </w:r>
      <w:bookmarkEnd w:id="96"/>
    </w:p>
    <w:p w14:paraId="5B2A60F0">
      <w:pPr>
        <w:pStyle w:val="167"/>
        <w:ind w:left="0"/>
        <w:rPr>
          <w:rFonts w:hint="eastAsia"/>
          <w:color w:val="auto"/>
        </w:rPr>
      </w:pPr>
      <w:r>
        <w:rPr>
          <w:rFonts w:hint="eastAsia"/>
          <w:color w:val="auto"/>
        </w:rPr>
        <w:t>宜选用全自动圆环链拉伸机，按链环规格设定</w:t>
      </w:r>
      <w:r>
        <w:rPr>
          <w:rFonts w:hint="eastAsia" w:ascii="宋体" w:hAnsi="宋体"/>
        </w:rPr>
        <w:t>检验</w:t>
      </w:r>
      <w:r>
        <w:rPr>
          <w:rFonts w:hint="eastAsia" w:ascii="宋体" w:hAnsi="宋体"/>
          <w:lang w:val="en-US" w:eastAsia="zh-CN"/>
        </w:rPr>
        <w:t>负荷</w:t>
      </w:r>
      <w:r>
        <w:rPr>
          <w:rFonts w:hint="eastAsia"/>
          <w:color w:val="auto"/>
        </w:rPr>
        <w:t>及对应程序</w:t>
      </w:r>
      <w:r>
        <w:rPr>
          <w:rFonts w:hint="eastAsia"/>
          <w:color w:val="auto"/>
          <w:lang w:eastAsia="zh-CN"/>
        </w:rPr>
        <w:t>，</w:t>
      </w:r>
      <w:r>
        <w:rPr>
          <w:rFonts w:hint="eastAsia" w:ascii="宋体" w:hAnsi="宋体"/>
        </w:rPr>
        <w:t>检验</w:t>
      </w:r>
      <w:r>
        <w:rPr>
          <w:rFonts w:hint="eastAsia" w:ascii="宋体" w:hAnsi="宋体"/>
          <w:lang w:val="en-US" w:eastAsia="zh-CN"/>
        </w:rPr>
        <w:t>负荷</w:t>
      </w:r>
      <w:r>
        <w:rPr>
          <w:rFonts w:hint="eastAsia"/>
          <w:color w:val="auto"/>
          <w:lang w:val="en-US" w:eastAsia="zh-CN"/>
        </w:rPr>
        <w:t>应符合GB/T 12718的规定</w:t>
      </w:r>
      <w:r>
        <w:rPr>
          <w:rFonts w:hint="eastAsia"/>
          <w:color w:val="auto"/>
        </w:rPr>
        <w:t>。</w:t>
      </w:r>
    </w:p>
    <w:p w14:paraId="666AA9C2">
      <w:pPr>
        <w:pStyle w:val="167"/>
        <w:ind w:left="0"/>
        <w:rPr>
          <w:rFonts w:hint="eastAsia"/>
          <w:color w:val="auto"/>
        </w:rPr>
      </w:pPr>
      <w:r>
        <w:rPr>
          <w:rFonts w:hint="eastAsia"/>
          <w:color w:val="auto"/>
          <w:lang w:val="en-US" w:eastAsia="zh-CN"/>
        </w:rPr>
        <w:t>应对链条逐段进行预拉伸处理，确保每个链环均被加载。</w:t>
      </w:r>
    </w:p>
    <w:p w14:paraId="685CA634">
      <w:pPr>
        <w:pStyle w:val="167"/>
        <w:ind w:left="0"/>
        <w:rPr>
          <w:rFonts w:hint="eastAsia"/>
          <w:color w:val="auto"/>
        </w:rPr>
      </w:pPr>
      <w:r>
        <w:rPr>
          <w:rFonts w:hint="eastAsia"/>
          <w:color w:val="auto"/>
          <w:lang w:val="en-US" w:eastAsia="zh-CN"/>
        </w:rPr>
        <w:t>预</w:t>
      </w:r>
      <w:r>
        <w:rPr>
          <w:rFonts w:hint="eastAsia"/>
          <w:color w:val="auto"/>
        </w:rPr>
        <w:t>拉伸后链环节距应均匀，节距偏差</w:t>
      </w:r>
      <w:r>
        <w:rPr>
          <w:rFonts w:hint="eastAsia"/>
          <w:color w:val="auto"/>
          <w:lang w:val="en-US" w:eastAsia="zh-CN"/>
        </w:rPr>
        <w:t>应符合</w:t>
      </w:r>
      <w:r>
        <w:rPr>
          <w:rFonts w:hint="eastAsia"/>
          <w:color w:val="auto"/>
        </w:rPr>
        <w:t>GB/T</w:t>
      </w:r>
      <w:r>
        <w:rPr>
          <w:rFonts w:hint="eastAsia"/>
          <w:color w:val="auto"/>
          <w:lang w:val="en-US" w:eastAsia="zh-CN"/>
        </w:rPr>
        <w:t xml:space="preserve"> </w:t>
      </w:r>
      <w:r>
        <w:rPr>
          <w:rFonts w:hint="eastAsia"/>
          <w:color w:val="auto"/>
        </w:rPr>
        <w:t>12718</w:t>
      </w:r>
      <w:r>
        <w:rPr>
          <w:rFonts w:hint="eastAsia"/>
          <w:color w:val="auto"/>
          <w:lang w:val="en-US" w:eastAsia="zh-CN"/>
        </w:rPr>
        <w:t>或技术文件的要求</w:t>
      </w:r>
      <w:r>
        <w:rPr>
          <w:rFonts w:hint="eastAsia"/>
          <w:color w:val="auto"/>
        </w:rPr>
        <w:t>。</w:t>
      </w:r>
    </w:p>
    <w:p w14:paraId="53EA69FA">
      <w:pPr>
        <w:pStyle w:val="107"/>
        <w:spacing w:before="120" w:after="120"/>
      </w:pPr>
      <w:bookmarkStart w:id="97" w:name="_Toc26703"/>
      <w:r>
        <w:rPr>
          <w:rFonts w:hint="eastAsia"/>
          <w:lang w:val="en-US" w:eastAsia="zh-CN"/>
        </w:rPr>
        <w:t>测配</w:t>
      </w:r>
      <w:bookmarkEnd w:id="97"/>
    </w:p>
    <w:p w14:paraId="3C921DB5">
      <w:pPr>
        <w:pStyle w:val="167"/>
        <w:ind w:left="0"/>
        <w:rPr>
          <w:rFonts w:hint="eastAsia"/>
          <w:color w:val="auto"/>
        </w:rPr>
      </w:pPr>
      <w:r>
        <w:rPr>
          <w:rFonts w:hint="eastAsia"/>
          <w:color w:val="auto"/>
          <w:lang w:val="en-US" w:eastAsia="zh-CN"/>
        </w:rPr>
        <w:t>测配前应确认待配链条链环</w:t>
      </w:r>
      <w:r>
        <w:rPr>
          <w:rFonts w:hint="eastAsia"/>
          <w:color w:val="auto"/>
        </w:rPr>
        <w:t>转动灵活、无卡滞。</w:t>
      </w:r>
    </w:p>
    <w:p w14:paraId="27AD6544">
      <w:pPr>
        <w:pStyle w:val="167"/>
        <w:ind w:left="0"/>
        <w:rPr>
          <w:rFonts w:hint="eastAsia"/>
          <w:color w:val="auto"/>
        </w:rPr>
      </w:pPr>
      <w:r>
        <w:rPr>
          <w:rFonts w:hint="eastAsia"/>
          <w:color w:val="auto"/>
          <w:lang w:val="en-US" w:eastAsia="zh-CN"/>
        </w:rPr>
        <w:t>测配</w:t>
      </w:r>
      <w:r>
        <w:rPr>
          <w:rFonts w:hint="eastAsia"/>
          <w:color w:val="auto"/>
        </w:rPr>
        <w:t>前应逐条拉直，在规定的初始负荷下测量链条长度，确保平（立）环方向一致、不打结。</w:t>
      </w:r>
    </w:p>
    <w:p w14:paraId="71EDB699">
      <w:pPr>
        <w:pStyle w:val="167"/>
        <w:ind w:left="0"/>
        <w:rPr>
          <w:rFonts w:hint="eastAsia"/>
          <w:color w:val="auto"/>
          <w:highlight w:val="none"/>
        </w:rPr>
      </w:pPr>
      <w:r>
        <w:rPr>
          <w:rFonts w:hint="eastAsia"/>
          <w:color w:val="auto"/>
          <w:highlight w:val="none"/>
        </w:rPr>
        <w:t>公称链条长度</w:t>
      </w:r>
      <w:r>
        <w:rPr>
          <w:rFonts w:hint="eastAsia"/>
          <w:color w:val="auto"/>
          <w:highlight w:val="none"/>
          <w:lang w:val="en-US" w:eastAsia="zh-CN"/>
        </w:rPr>
        <w:t>及偏差</w:t>
      </w:r>
      <w:r>
        <w:rPr>
          <w:rFonts w:hint="eastAsia"/>
          <w:highlight w:val="none"/>
        </w:rPr>
        <w:t>应符合GB/T 12718—2009中</w:t>
      </w:r>
      <w:r>
        <w:rPr>
          <w:rFonts w:hint="eastAsia"/>
          <w:highlight w:val="none"/>
          <w:lang w:val="en-US" w:eastAsia="zh-CN"/>
        </w:rPr>
        <w:t>4</w:t>
      </w:r>
      <w:r>
        <w:rPr>
          <w:rFonts w:hint="eastAsia"/>
          <w:highlight w:val="none"/>
        </w:rPr>
        <w:t>.</w:t>
      </w:r>
      <w:r>
        <w:rPr>
          <w:rFonts w:hint="eastAsia"/>
          <w:highlight w:val="none"/>
          <w:lang w:val="en-US" w:eastAsia="zh-CN"/>
        </w:rPr>
        <w:t>2</w:t>
      </w:r>
      <w:r>
        <w:rPr>
          <w:rFonts w:hint="eastAsia"/>
          <w:highlight w:val="none"/>
        </w:rPr>
        <w:t>的规定。</w:t>
      </w:r>
    </w:p>
    <w:p w14:paraId="4CF29A9A">
      <w:pPr>
        <w:pStyle w:val="167"/>
        <w:ind w:left="0"/>
        <w:rPr>
          <w:rFonts w:hint="eastAsia"/>
          <w:color w:val="auto"/>
          <w:highlight w:val="none"/>
        </w:rPr>
      </w:pPr>
      <w:r>
        <w:rPr>
          <w:rFonts w:hint="eastAsia"/>
          <w:color w:val="auto"/>
          <w:highlight w:val="none"/>
        </w:rPr>
        <w:t>配对长度</w:t>
      </w:r>
      <w:r>
        <w:rPr>
          <w:rFonts w:hint="eastAsia"/>
          <w:highlight w:val="none"/>
        </w:rPr>
        <w:t>应符合GB/T 12718—2009中</w:t>
      </w:r>
      <w:r>
        <w:rPr>
          <w:rFonts w:hint="eastAsia"/>
          <w:highlight w:val="none"/>
          <w:lang w:val="en-US" w:eastAsia="zh-CN"/>
        </w:rPr>
        <w:t>4</w:t>
      </w:r>
      <w:r>
        <w:rPr>
          <w:rFonts w:hint="eastAsia"/>
          <w:highlight w:val="none"/>
        </w:rPr>
        <w:t>.</w:t>
      </w:r>
      <w:r>
        <w:rPr>
          <w:rFonts w:hint="eastAsia"/>
          <w:highlight w:val="none"/>
          <w:lang w:val="en-US" w:eastAsia="zh-CN"/>
        </w:rPr>
        <w:t>3</w:t>
      </w:r>
      <w:r>
        <w:rPr>
          <w:rFonts w:hint="eastAsia"/>
          <w:highlight w:val="none"/>
        </w:rPr>
        <w:t>的规定。</w:t>
      </w:r>
    </w:p>
    <w:p w14:paraId="48A4155B">
      <w:pPr>
        <w:pStyle w:val="167"/>
        <w:ind w:left="0"/>
        <w:rPr>
          <w:rFonts w:hint="eastAsia"/>
          <w:color w:val="auto"/>
          <w:highlight w:val="none"/>
        </w:rPr>
      </w:pPr>
      <w:r>
        <w:rPr>
          <w:rFonts w:hint="eastAsia"/>
          <w:color w:val="auto"/>
          <w:highlight w:val="none"/>
        </w:rPr>
        <w:t>配对</w:t>
      </w:r>
      <w:r>
        <w:rPr>
          <w:rFonts w:hint="eastAsia"/>
          <w:color w:val="auto"/>
          <w:highlight w:val="none"/>
          <w:lang w:val="en-US" w:eastAsia="zh-CN"/>
        </w:rPr>
        <w:t>后的链条应</w:t>
      </w:r>
      <w:r>
        <w:rPr>
          <w:rFonts w:hint="eastAsia"/>
          <w:color w:val="auto"/>
          <w:highlight w:val="none"/>
        </w:rPr>
        <w:t>制作配对标识</w:t>
      </w:r>
      <w:r>
        <w:rPr>
          <w:rFonts w:hint="eastAsia"/>
          <w:color w:val="auto"/>
          <w:highlight w:val="none"/>
          <w:lang w:eastAsia="zh-CN"/>
        </w:rPr>
        <w:t>，成对扎捆</w:t>
      </w:r>
      <w:r>
        <w:rPr>
          <w:rFonts w:hint="eastAsia"/>
          <w:color w:val="auto"/>
          <w:highlight w:val="none"/>
        </w:rPr>
        <w:t>。</w:t>
      </w:r>
    </w:p>
    <w:p w14:paraId="31337D5A">
      <w:pPr>
        <w:pStyle w:val="107"/>
        <w:spacing w:before="120" w:after="120"/>
        <w:rPr>
          <w:rFonts w:hint="eastAsia"/>
          <w:lang w:val="en-US" w:eastAsia="zh-CN"/>
        </w:rPr>
      </w:pPr>
      <w:bookmarkStart w:id="98" w:name="_Toc23619"/>
      <w:r>
        <w:rPr>
          <w:rFonts w:hint="eastAsia"/>
          <w:lang w:val="en-US" w:eastAsia="zh-CN"/>
        </w:rPr>
        <w:t>防锈处理</w:t>
      </w:r>
      <w:bookmarkEnd w:id="98"/>
    </w:p>
    <w:p w14:paraId="4F742EA4">
      <w:pPr>
        <w:pStyle w:val="167"/>
        <w:ind w:left="0"/>
        <w:rPr>
          <w:rFonts w:hint="eastAsia"/>
          <w:color w:val="auto"/>
          <w:lang w:val="en-US" w:eastAsia="zh-CN"/>
        </w:rPr>
      </w:pPr>
      <w:r>
        <w:rPr>
          <w:rFonts w:hint="eastAsia"/>
          <w:color w:val="auto"/>
          <w:lang w:val="en-US" w:eastAsia="zh-CN"/>
        </w:rPr>
        <w:t>防锈前应去除链条表面氧化物、焊渣等杂质，确保表面清洁、干燥、无油污、无锈蚀。</w:t>
      </w:r>
    </w:p>
    <w:p w14:paraId="67F64875">
      <w:pPr>
        <w:pStyle w:val="167"/>
        <w:ind w:left="0"/>
        <w:rPr>
          <w:rFonts w:hint="eastAsia"/>
          <w:color w:val="auto"/>
        </w:rPr>
      </w:pPr>
      <w:r>
        <w:rPr>
          <w:rFonts w:hint="eastAsia"/>
          <w:color w:val="auto"/>
        </w:rPr>
        <w:t>根据</w:t>
      </w:r>
      <w:r>
        <w:rPr>
          <w:rFonts w:hint="eastAsia"/>
          <w:color w:val="auto"/>
          <w:lang w:val="en-US" w:eastAsia="zh-CN"/>
        </w:rPr>
        <w:t>运输、储存、使用等环境</w:t>
      </w:r>
      <w:r>
        <w:rPr>
          <w:rFonts w:hint="eastAsia"/>
          <w:color w:val="auto"/>
        </w:rPr>
        <w:t>特点</w:t>
      </w:r>
      <w:r>
        <w:rPr>
          <w:rFonts w:hint="eastAsia"/>
          <w:color w:val="auto"/>
          <w:lang w:eastAsia="zh-CN"/>
        </w:rPr>
        <w:t>，</w:t>
      </w:r>
      <w:r>
        <w:rPr>
          <w:rFonts w:hint="eastAsia"/>
          <w:color w:val="auto"/>
          <w:lang w:val="en-US" w:eastAsia="zh-CN"/>
        </w:rPr>
        <w:t>选择</w:t>
      </w:r>
      <w:r>
        <w:rPr>
          <w:rFonts w:hint="eastAsia"/>
          <w:color w:val="auto"/>
          <w:lang w:eastAsia="zh-CN"/>
        </w:rPr>
        <w:t>适宜的防锈方式</w:t>
      </w:r>
      <w:r>
        <w:rPr>
          <w:rFonts w:hint="eastAsia"/>
          <w:color w:val="auto"/>
          <w:lang w:val="en-US" w:eastAsia="zh-CN"/>
        </w:rPr>
        <w:t>进行产品</w:t>
      </w:r>
      <w:r>
        <w:rPr>
          <w:rFonts w:hint="eastAsia"/>
          <w:color w:val="auto"/>
        </w:rPr>
        <w:t>防锈处理</w:t>
      </w:r>
      <w:r>
        <w:rPr>
          <w:rFonts w:hint="eastAsia"/>
          <w:color w:val="auto"/>
        </w:rPr>
        <w:fldChar w:fldCharType="begin"/>
      </w:r>
      <w:r>
        <w:rPr>
          <w:rFonts w:hint="eastAsia"/>
          <w:color w:val="auto"/>
        </w:rPr>
        <w:instrText xml:space="preserve"> HYPERLINK "https://www.jigao616.com/zhuanlijieshao_40953079.aspx" \t "https://chat.deepseek.com/a/chat/s/_blank" </w:instrText>
      </w:r>
      <w:r>
        <w:rPr>
          <w:rFonts w:hint="eastAsia"/>
          <w:color w:val="auto"/>
        </w:rPr>
        <w:fldChar w:fldCharType="separate"/>
      </w:r>
      <w:r>
        <w:rPr>
          <w:rFonts w:hint="eastAsia"/>
          <w:color w:val="auto"/>
        </w:rPr>
        <w:fldChar w:fldCharType="end"/>
      </w:r>
      <w:r>
        <w:rPr>
          <w:rFonts w:hint="eastAsia"/>
          <w:color w:val="auto"/>
        </w:rPr>
        <w:fldChar w:fldCharType="begin"/>
      </w:r>
      <w:r>
        <w:rPr>
          <w:rFonts w:hint="eastAsia"/>
          <w:color w:val="auto"/>
        </w:rPr>
        <w:instrText xml:space="preserve"> HYPERLINK "https://www.jigao616.com/zhuanlijieshao_44829442.aspx" \t "https://chat.deepseek.com/a/chat/s/_blank" </w:instrText>
      </w:r>
      <w:r>
        <w:rPr>
          <w:rFonts w:hint="eastAsia"/>
          <w:color w:val="auto"/>
        </w:rPr>
        <w:fldChar w:fldCharType="separate"/>
      </w:r>
      <w:r>
        <w:rPr>
          <w:rFonts w:hint="eastAsia"/>
          <w:color w:val="auto"/>
        </w:rPr>
        <w:fldChar w:fldCharType="end"/>
      </w:r>
      <w:r>
        <w:rPr>
          <w:rFonts w:hint="eastAsia"/>
          <w:color w:val="auto"/>
        </w:rPr>
        <w:t>。</w:t>
      </w:r>
    </w:p>
    <w:p w14:paraId="06BBA23B">
      <w:pPr>
        <w:pStyle w:val="167"/>
        <w:ind w:left="0"/>
        <w:rPr>
          <w:rFonts w:hint="default"/>
          <w:color w:val="auto"/>
          <w:lang w:val="en-US" w:eastAsia="zh-CN"/>
        </w:rPr>
      </w:pPr>
      <w:r>
        <w:rPr>
          <w:rFonts w:hint="eastAsia"/>
          <w:color w:val="auto"/>
        </w:rPr>
        <w:t>防锈处理后的链条应符合相关安全环保规定。</w:t>
      </w:r>
    </w:p>
    <w:p w14:paraId="5D9D0FCC">
      <w:pPr>
        <w:pStyle w:val="106"/>
        <w:spacing w:before="240" w:after="240"/>
        <w:ind w:left="0"/>
      </w:pPr>
      <w:bookmarkStart w:id="99" w:name="_Toc212714360"/>
      <w:bookmarkStart w:id="100" w:name="_Toc23440"/>
      <w:bookmarkStart w:id="101" w:name="_Toc200883632"/>
      <w:bookmarkStart w:id="102" w:name="_Toc212714330"/>
      <w:bookmarkStart w:id="103" w:name="_Toc200883715"/>
      <w:bookmarkStart w:id="104" w:name="_Toc201732807"/>
      <w:bookmarkStart w:id="105" w:name="_Toc4667"/>
      <w:r>
        <w:rPr>
          <w:rFonts w:hint="eastAsia"/>
        </w:rPr>
        <w:t>检验检测要求</w:t>
      </w:r>
      <w:bookmarkEnd w:id="99"/>
      <w:bookmarkEnd w:id="100"/>
      <w:bookmarkEnd w:id="101"/>
      <w:bookmarkEnd w:id="102"/>
      <w:bookmarkEnd w:id="103"/>
      <w:bookmarkEnd w:id="104"/>
      <w:bookmarkEnd w:id="105"/>
    </w:p>
    <w:p w14:paraId="0AB2DBC7">
      <w:pPr>
        <w:pStyle w:val="107"/>
        <w:spacing w:before="120" w:after="120"/>
      </w:pPr>
      <w:bookmarkStart w:id="106" w:name="_Toc212714331"/>
      <w:bookmarkStart w:id="107" w:name="_Toc18125"/>
      <w:r>
        <w:rPr>
          <w:rFonts w:hint="eastAsia"/>
        </w:rPr>
        <w:t>外观检验要求</w:t>
      </w:r>
      <w:bookmarkEnd w:id="106"/>
      <w:bookmarkEnd w:id="107"/>
    </w:p>
    <w:p w14:paraId="09CD2AE7">
      <w:pPr>
        <w:pStyle w:val="167"/>
        <w:ind w:left="0"/>
        <w:rPr>
          <w:highlight w:val="none"/>
        </w:rPr>
      </w:pPr>
      <w:r>
        <w:rPr>
          <w:rFonts w:hint="eastAsia"/>
        </w:rPr>
        <w:t>链环</w:t>
      </w:r>
      <w:r>
        <w:rPr>
          <w:rFonts w:hint="eastAsia"/>
          <w:highlight w:val="none"/>
        </w:rPr>
        <w:t>表面应光滑，无裂纹、折叠、严重划伤、过烧等缺陷。</w:t>
      </w:r>
    </w:p>
    <w:p w14:paraId="053DEC0C">
      <w:pPr>
        <w:pStyle w:val="167"/>
        <w:ind w:left="0"/>
        <w:rPr>
          <w:highlight w:val="none"/>
        </w:rPr>
      </w:pPr>
      <w:r>
        <w:rPr>
          <w:rFonts w:hint="eastAsia"/>
          <w:highlight w:val="none"/>
        </w:rPr>
        <w:t>焊缝区域应饱满、无飞溅、无严重挂渣。</w:t>
      </w:r>
    </w:p>
    <w:p w14:paraId="64C5937D">
      <w:pPr>
        <w:pStyle w:val="167"/>
        <w:ind w:left="0"/>
        <w:rPr>
          <w:highlight w:val="none"/>
        </w:rPr>
      </w:pPr>
      <w:r>
        <w:rPr>
          <w:rFonts w:hint="eastAsia"/>
          <w:highlight w:val="none"/>
        </w:rPr>
        <w:t>表面质量检验应</w:t>
      </w:r>
      <w:r>
        <w:rPr>
          <w:rFonts w:hint="eastAsia"/>
          <w:highlight w:val="none"/>
          <w:lang w:val="en-US" w:eastAsia="zh-CN"/>
        </w:rPr>
        <w:t>按</w:t>
      </w:r>
      <w:r>
        <w:rPr>
          <w:rFonts w:hint="eastAsia"/>
          <w:highlight w:val="none"/>
        </w:rPr>
        <w:t xml:space="preserve"> </w:t>
      </w:r>
      <w:r>
        <w:rPr>
          <w:rFonts w:hint="eastAsia" w:hAnsi="宋体"/>
          <w:highlight w:val="none"/>
          <w:lang w:val="en-US" w:eastAsia="zh-CN"/>
        </w:rPr>
        <w:t>GB</w:t>
      </w:r>
      <w:r>
        <w:rPr>
          <w:rFonts w:hint="eastAsia" w:ascii="宋体" w:hAnsi="宋体"/>
          <w:highlight w:val="none"/>
        </w:rPr>
        <w:t xml:space="preserve">/T </w:t>
      </w:r>
      <w:r>
        <w:rPr>
          <w:rFonts w:hint="eastAsia" w:hAnsi="宋体"/>
          <w:highlight w:val="none"/>
          <w:lang w:val="en-US" w:eastAsia="zh-CN"/>
        </w:rPr>
        <w:t>12718</w:t>
      </w:r>
      <w:r>
        <w:rPr>
          <w:rFonts w:hint="eastAsia" w:ascii="宋体" w:hAnsi="宋体"/>
          <w:highlight w:val="none"/>
        </w:rPr>
        <w:t>—</w:t>
      </w:r>
      <w:r>
        <w:rPr>
          <w:rFonts w:hint="eastAsia" w:ascii="宋体" w:hAnsi="宋体"/>
          <w:highlight w:val="none"/>
          <w:lang w:val="en-US" w:eastAsia="zh-CN"/>
        </w:rPr>
        <w:t>200</w:t>
      </w:r>
      <w:r>
        <w:rPr>
          <w:rFonts w:hint="eastAsia" w:hAnsi="宋体"/>
          <w:highlight w:val="none"/>
          <w:lang w:val="en-US" w:eastAsia="zh-CN"/>
        </w:rPr>
        <w:t>9</w:t>
      </w:r>
      <w:r>
        <w:rPr>
          <w:rFonts w:hint="eastAsia"/>
          <w:highlight w:val="none"/>
        </w:rPr>
        <w:t>中</w:t>
      </w:r>
      <w:r>
        <w:rPr>
          <w:rFonts w:hint="eastAsia"/>
          <w:highlight w:val="none"/>
          <w:lang w:val="en-US" w:eastAsia="zh-CN"/>
        </w:rPr>
        <w:t>8.5.1及MT/T 522的规定执行。</w:t>
      </w:r>
    </w:p>
    <w:p w14:paraId="3DCBA793">
      <w:pPr>
        <w:pStyle w:val="107"/>
        <w:spacing w:before="120" w:after="120"/>
      </w:pPr>
      <w:bookmarkStart w:id="108" w:name="_Toc16859"/>
      <w:r>
        <w:rPr>
          <w:rFonts w:hint="eastAsia"/>
        </w:rPr>
        <w:t>尺寸检测要求</w:t>
      </w:r>
      <w:bookmarkEnd w:id="108"/>
    </w:p>
    <w:p w14:paraId="246190DE">
      <w:pPr>
        <w:pStyle w:val="167"/>
        <w:ind w:left="0"/>
      </w:pPr>
      <w:r>
        <w:rPr>
          <w:rFonts w:hint="eastAsia"/>
        </w:rPr>
        <w:t>测量工具应检定合格且在有效期内。</w:t>
      </w:r>
    </w:p>
    <w:p w14:paraId="160B3F56">
      <w:pPr>
        <w:pStyle w:val="167"/>
        <w:ind w:left="0"/>
        <w:rPr>
          <w:rFonts w:hint="eastAsia"/>
          <w:lang w:val="en-US" w:eastAsia="zh-CN"/>
        </w:rPr>
      </w:pPr>
      <w:r>
        <w:rPr>
          <w:rFonts w:hint="eastAsia"/>
          <w:lang w:val="en-US" w:eastAsia="zh-CN"/>
        </w:rPr>
        <w:t>圆环链尺寸</w:t>
      </w:r>
      <w:r>
        <w:rPr>
          <w:rFonts w:hint="eastAsia"/>
        </w:rPr>
        <w:t>检测</w:t>
      </w:r>
      <w:r>
        <w:rPr>
          <w:rFonts w:hint="eastAsia"/>
          <w:lang w:val="en-US" w:eastAsia="zh-CN"/>
        </w:rPr>
        <w:t>应符合GB/T 12718—2009中4.1与8.5.2的规定。</w:t>
      </w:r>
    </w:p>
    <w:p w14:paraId="63D96EBB">
      <w:pPr>
        <w:pStyle w:val="167"/>
        <w:ind w:left="0"/>
        <w:rPr>
          <w:rFonts w:hint="eastAsia"/>
          <w:lang w:val="en-US" w:eastAsia="zh-CN"/>
        </w:rPr>
      </w:pPr>
      <w:r>
        <w:rPr>
          <w:rFonts w:hint="eastAsia"/>
          <w:color w:val="auto"/>
          <w:highlight w:val="none"/>
        </w:rPr>
        <w:t>公称链条长度</w:t>
      </w:r>
      <w:r>
        <w:rPr>
          <w:rFonts w:hint="eastAsia"/>
          <w:color w:val="auto"/>
          <w:highlight w:val="none"/>
          <w:lang w:val="en-US" w:eastAsia="zh-CN"/>
        </w:rPr>
        <w:t>及偏差、配对长度应符合GB/T 12718—2009中4.2与4.3的规定。</w:t>
      </w:r>
    </w:p>
    <w:p w14:paraId="1E8F36A0">
      <w:pPr>
        <w:pStyle w:val="107"/>
        <w:spacing w:before="120" w:after="120"/>
        <w:rPr>
          <w:color w:val="auto"/>
        </w:rPr>
      </w:pPr>
      <w:bookmarkStart w:id="109" w:name="_Toc29139"/>
      <w:r>
        <w:rPr>
          <w:rFonts w:hint="eastAsia"/>
          <w:color w:val="auto"/>
          <w:lang w:val="en-US" w:eastAsia="zh-CN"/>
        </w:rPr>
        <w:t>机械</w:t>
      </w:r>
      <w:r>
        <w:rPr>
          <w:rFonts w:hint="eastAsia"/>
          <w:color w:val="auto"/>
        </w:rPr>
        <w:t>性能检验要求</w:t>
      </w:r>
      <w:bookmarkEnd w:id="109"/>
    </w:p>
    <w:p w14:paraId="33D27BE1">
      <w:pPr>
        <w:pStyle w:val="167"/>
        <w:ind w:left="0"/>
        <w:rPr>
          <w:rFonts w:hint="eastAsia"/>
          <w:color w:val="auto"/>
          <w:lang w:val="en-US" w:eastAsia="zh-CN"/>
        </w:rPr>
      </w:pPr>
      <w:r>
        <w:rPr>
          <w:rFonts w:hint="eastAsia"/>
          <w:color w:val="auto"/>
          <w:lang w:val="en-US" w:eastAsia="zh-CN"/>
        </w:rPr>
        <w:t>每批次按MT/T 522抽取试样进行破断负荷试验，破断负荷及断后伸长率应符合GB/T 12718或订货技术条件。</w:t>
      </w:r>
    </w:p>
    <w:p w14:paraId="1CEFB840">
      <w:pPr>
        <w:pStyle w:val="167"/>
        <w:ind w:left="0"/>
        <w:rPr>
          <w:rFonts w:hint="eastAsia"/>
          <w:color w:val="auto"/>
          <w:lang w:val="en-US" w:eastAsia="zh-CN"/>
        </w:rPr>
      </w:pPr>
      <w:r>
        <w:rPr>
          <w:rFonts w:hint="eastAsia"/>
          <w:color w:val="auto"/>
          <w:lang w:val="en-US" w:eastAsia="zh-CN"/>
        </w:rPr>
        <w:t>必要时进行疲劳试验，按GB/T 12718规定执行。</w:t>
      </w:r>
    </w:p>
    <w:p w14:paraId="6681B323">
      <w:pPr>
        <w:pStyle w:val="107"/>
        <w:spacing w:before="120" w:after="120"/>
      </w:pPr>
      <w:bookmarkStart w:id="110" w:name="_Toc31793"/>
      <w:r>
        <w:rPr>
          <w:rFonts w:hint="eastAsia"/>
        </w:rPr>
        <w:t>无损检测要求（必要时）</w:t>
      </w:r>
      <w:bookmarkEnd w:id="110"/>
    </w:p>
    <w:p w14:paraId="1E17B7AC">
      <w:pPr>
        <w:pStyle w:val="167"/>
        <w:ind w:left="0"/>
        <w:rPr>
          <w:rFonts w:hint="eastAsia"/>
          <w:color w:val="auto"/>
          <w:lang w:val="en-US" w:eastAsia="zh-CN"/>
        </w:rPr>
      </w:pPr>
      <w:r>
        <w:rPr>
          <w:rFonts w:hint="eastAsia"/>
          <w:color w:val="auto"/>
          <w:lang w:val="en-US" w:eastAsia="zh-CN"/>
        </w:rPr>
        <w:t>可采用磁粉探伤或渗透检测检查焊缝表面及近表面缺陷，检测人员应具备相应资质。</w:t>
      </w:r>
    </w:p>
    <w:p w14:paraId="346B27E8">
      <w:pPr>
        <w:pStyle w:val="167"/>
        <w:ind w:left="0"/>
        <w:rPr>
          <w:rFonts w:hint="eastAsia"/>
          <w:color w:val="auto"/>
          <w:lang w:val="en-US" w:eastAsia="zh-CN"/>
        </w:rPr>
      </w:pPr>
      <w:r>
        <w:rPr>
          <w:rFonts w:hint="eastAsia"/>
          <w:color w:val="auto"/>
          <w:lang w:val="en-US" w:eastAsia="zh-CN"/>
        </w:rPr>
        <w:t>磁粉探伤后应进行消磁处理，并及时去除链环表面残留的辅助液体。</w:t>
      </w:r>
    </w:p>
    <w:p w14:paraId="1F0DBA95">
      <w:pPr>
        <w:pStyle w:val="213"/>
        <w:numPr>
          <w:ilvl w:val="0"/>
          <w:numId w:val="0"/>
        </w:numPr>
        <w:rPr>
          <w:rFonts w:hint="eastAsia"/>
        </w:rPr>
      </w:pPr>
    </w:p>
    <w:bookmarkEnd w:id="20"/>
    <w:p w14:paraId="6C0A008D">
      <w:pPr>
        <w:pStyle w:val="200"/>
        <w:rPr>
          <w:vanish w:val="0"/>
        </w:rPr>
      </w:pPr>
      <w:bookmarkStart w:id="111" w:name="BookMark5"/>
    </w:p>
    <w:p w14:paraId="5D509669">
      <w:pPr>
        <w:pStyle w:val="201"/>
        <w:rPr>
          <w:vanish w:val="0"/>
        </w:rPr>
      </w:pPr>
    </w:p>
    <w:bookmarkEnd w:id="111"/>
    <w:p w14:paraId="183F2AF7">
      <w:pPr>
        <w:pStyle w:val="58"/>
        <w:ind w:firstLine="0" w:firstLineChars="0"/>
        <w:jc w:val="center"/>
      </w:pPr>
      <w:bookmarkStart w:id="112" w:name="BookMark8"/>
      <w: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2"/>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TJ-PK748200007e6-Identity-H">
    <w:altName w:val="SIEMENS_GOST Type A"/>
    <w:panose1 w:val="00000000000000000000"/>
    <w:charset w:val="00"/>
    <w:family w:val="auto"/>
    <w:pitch w:val="default"/>
    <w:sig w:usb0="00000000" w:usb1="00000000" w:usb2="00000000" w:usb3="00000000" w:csb0="00000000" w:csb1="00000000"/>
  </w:font>
  <w:font w:name="SIEMENS_GOST Type A">
    <w:panose1 w:val="02000400000000000000"/>
    <w:charset w:val="00"/>
    <w:family w:val="auto"/>
    <w:pitch w:val="default"/>
    <w:sig w:usb0="00000003" w:usb1="00000000" w:usb2="00000000" w:usb3="00000000" w:csb0="2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DAEBA">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992C8">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F4D1E">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202B2">
    <w:pPr>
      <w:pStyle w:val="54"/>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FC346">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5376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750F3">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E8E12">
    <w:pPr>
      <w:pStyle w:val="63"/>
    </w:pPr>
    <w:r>
      <w:fldChar w:fldCharType="begin"/>
    </w:r>
    <w:r>
      <w:instrText xml:space="preserve"> STYLEREF  标准文件_文件编号  \* MERGEFORMAT </w:instrText>
    </w:r>
    <w:r>
      <w:fldChar w:fldCharType="separate"/>
    </w:r>
    <w:r>
      <w:t>T/NXJX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708" w:firstLine="0"/>
      </w:pPr>
      <w:rPr>
        <w:rFonts w:hint="eastAsia" w:ascii="黑体" w:eastAsia="黑体"/>
        <w:b w:val="0"/>
        <w:i w:val="0"/>
        <w:sz w:val="21"/>
      </w:rPr>
    </w:lvl>
    <w:lvl w:ilvl="2" w:tentative="0">
      <w:start w:val="1"/>
      <w:numFmt w:val="decimal"/>
      <w:pStyle w:val="107"/>
      <w:suff w:val="nothing"/>
      <w:lvlText w:val="%1%2.%3　"/>
      <w:lvlJc w:val="left"/>
      <w:pPr>
        <w:ind w:left="28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2410" w:firstLine="0"/>
      </w:pPr>
      <w:rPr>
        <w:rFonts w:hint="eastAsia" w:ascii="黑体" w:eastAsia="黑体"/>
        <w:b w:val="0"/>
        <w:i w:val="0"/>
        <w:sz w:val="21"/>
      </w:rPr>
    </w:lvl>
    <w:lvl w:ilvl="4" w:tentative="0">
      <w:start w:val="1"/>
      <w:numFmt w:val="lowerLetter"/>
      <w:pStyle w:val="96"/>
      <w:suff w:val="nothing"/>
      <w:lvlText w:val="%5）"/>
      <w:lvlJc w:val="left"/>
      <w:pPr>
        <w:ind w:left="141" w:firstLine="0"/>
      </w:pPr>
      <w:rPr>
        <w:rFonts w:ascii="宋体" w:hAnsi="Times New Roman" w:eastAsia="宋体" w:cs="Times New Roman"/>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20F"/>
    <w:rsid w:val="0000040A"/>
    <w:rsid w:val="00000A94"/>
    <w:rsid w:val="00000FBC"/>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1F7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BB"/>
    <w:rsid w:val="000556ED"/>
    <w:rsid w:val="00055FE2"/>
    <w:rsid w:val="0005616F"/>
    <w:rsid w:val="00060C2E"/>
    <w:rsid w:val="00061033"/>
    <w:rsid w:val="000619E9"/>
    <w:rsid w:val="000622D4"/>
    <w:rsid w:val="0006355A"/>
    <w:rsid w:val="0006357D"/>
    <w:rsid w:val="000654EB"/>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DC0"/>
    <w:rsid w:val="000B060F"/>
    <w:rsid w:val="000B1592"/>
    <w:rsid w:val="000B1FF2"/>
    <w:rsid w:val="000B2D9F"/>
    <w:rsid w:val="000B3CDA"/>
    <w:rsid w:val="000B6A0B"/>
    <w:rsid w:val="000C0F6C"/>
    <w:rsid w:val="000C11DB"/>
    <w:rsid w:val="000C1416"/>
    <w:rsid w:val="000C1492"/>
    <w:rsid w:val="000C2FBD"/>
    <w:rsid w:val="000C4B41"/>
    <w:rsid w:val="000C57D6"/>
    <w:rsid w:val="000C6362"/>
    <w:rsid w:val="000C7666"/>
    <w:rsid w:val="000D0A9C"/>
    <w:rsid w:val="000D1795"/>
    <w:rsid w:val="000D329A"/>
    <w:rsid w:val="000D4B9C"/>
    <w:rsid w:val="000D4EB6"/>
    <w:rsid w:val="000D753B"/>
    <w:rsid w:val="000E49A0"/>
    <w:rsid w:val="000E4C9E"/>
    <w:rsid w:val="000E6FD7"/>
    <w:rsid w:val="000E7144"/>
    <w:rsid w:val="000F06E1"/>
    <w:rsid w:val="000F0E3C"/>
    <w:rsid w:val="000F16D8"/>
    <w:rsid w:val="000F19D5"/>
    <w:rsid w:val="000F4050"/>
    <w:rsid w:val="000F4AEA"/>
    <w:rsid w:val="000F67E9"/>
    <w:rsid w:val="00104926"/>
    <w:rsid w:val="00113B1E"/>
    <w:rsid w:val="0011711C"/>
    <w:rsid w:val="00124E4F"/>
    <w:rsid w:val="001260B7"/>
    <w:rsid w:val="001265CB"/>
    <w:rsid w:val="00130FEC"/>
    <w:rsid w:val="001321C6"/>
    <w:rsid w:val="001325C4"/>
    <w:rsid w:val="00133010"/>
    <w:rsid w:val="001338EE"/>
    <w:rsid w:val="00133AAE"/>
    <w:rsid w:val="00135323"/>
    <w:rsid w:val="001353EE"/>
    <w:rsid w:val="001356C4"/>
    <w:rsid w:val="00137356"/>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ABC"/>
    <w:rsid w:val="00173FB1"/>
    <w:rsid w:val="00176DFD"/>
    <w:rsid w:val="00181149"/>
    <w:rsid w:val="001846C5"/>
    <w:rsid w:val="001852C9"/>
    <w:rsid w:val="00187A0B"/>
    <w:rsid w:val="00190087"/>
    <w:rsid w:val="00191392"/>
    <w:rsid w:val="001913C4"/>
    <w:rsid w:val="0019348F"/>
    <w:rsid w:val="00193A07"/>
    <w:rsid w:val="00194C95"/>
    <w:rsid w:val="00195C34"/>
    <w:rsid w:val="00196EF5"/>
    <w:rsid w:val="001A1A53"/>
    <w:rsid w:val="001A234A"/>
    <w:rsid w:val="001A4CF3"/>
    <w:rsid w:val="001A6696"/>
    <w:rsid w:val="001B06E8"/>
    <w:rsid w:val="001B43E3"/>
    <w:rsid w:val="001B71D0"/>
    <w:rsid w:val="001B71EE"/>
    <w:rsid w:val="001C0286"/>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4F12"/>
    <w:rsid w:val="00215ADD"/>
    <w:rsid w:val="002204BB"/>
    <w:rsid w:val="00221B79"/>
    <w:rsid w:val="00221C6B"/>
    <w:rsid w:val="002241E7"/>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26B"/>
    <w:rsid w:val="00267EF4"/>
    <w:rsid w:val="00270CB8"/>
    <w:rsid w:val="00271F35"/>
    <w:rsid w:val="00272B08"/>
    <w:rsid w:val="00281BB8"/>
    <w:rsid w:val="00281E9E"/>
    <w:rsid w:val="00282405"/>
    <w:rsid w:val="00282B28"/>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8AF"/>
    <w:rsid w:val="002A3AAB"/>
    <w:rsid w:val="002A4CEA"/>
    <w:rsid w:val="002A5977"/>
    <w:rsid w:val="002A5A13"/>
    <w:rsid w:val="002A757F"/>
    <w:rsid w:val="002A7F44"/>
    <w:rsid w:val="002B0C40"/>
    <w:rsid w:val="002B1966"/>
    <w:rsid w:val="002B234B"/>
    <w:rsid w:val="002B4508"/>
    <w:rsid w:val="002B5779"/>
    <w:rsid w:val="002B7332"/>
    <w:rsid w:val="002B7F51"/>
    <w:rsid w:val="002C09E7"/>
    <w:rsid w:val="002C1E06"/>
    <w:rsid w:val="002C3F07"/>
    <w:rsid w:val="002C5278"/>
    <w:rsid w:val="002C764A"/>
    <w:rsid w:val="002C7EBB"/>
    <w:rsid w:val="002D06C1"/>
    <w:rsid w:val="002D3BFE"/>
    <w:rsid w:val="002D42B5"/>
    <w:rsid w:val="002D4F1A"/>
    <w:rsid w:val="002D677C"/>
    <w:rsid w:val="002D6EC6"/>
    <w:rsid w:val="002D79AC"/>
    <w:rsid w:val="002E039D"/>
    <w:rsid w:val="002E4D5A"/>
    <w:rsid w:val="002E6326"/>
    <w:rsid w:val="002F30E0"/>
    <w:rsid w:val="002F35E4"/>
    <w:rsid w:val="002F3730"/>
    <w:rsid w:val="002F38E1"/>
    <w:rsid w:val="002F6C15"/>
    <w:rsid w:val="002F75A5"/>
    <w:rsid w:val="002F7AF6"/>
    <w:rsid w:val="00300E63"/>
    <w:rsid w:val="00302F5F"/>
    <w:rsid w:val="0030441D"/>
    <w:rsid w:val="00304F2C"/>
    <w:rsid w:val="00306063"/>
    <w:rsid w:val="0031149A"/>
    <w:rsid w:val="00312383"/>
    <w:rsid w:val="003126D6"/>
    <w:rsid w:val="00313B85"/>
    <w:rsid w:val="00317988"/>
    <w:rsid w:val="003221B4"/>
    <w:rsid w:val="0032258D"/>
    <w:rsid w:val="00322E62"/>
    <w:rsid w:val="00324D13"/>
    <w:rsid w:val="00324EDD"/>
    <w:rsid w:val="00327C56"/>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7DF"/>
    <w:rsid w:val="00384FFC"/>
    <w:rsid w:val="00387259"/>
    <w:rsid w:val="003872FC"/>
    <w:rsid w:val="00387ADC"/>
    <w:rsid w:val="00387B78"/>
    <w:rsid w:val="00390020"/>
    <w:rsid w:val="003903D6"/>
    <w:rsid w:val="00390EE6"/>
    <w:rsid w:val="0039118F"/>
    <w:rsid w:val="00392AD7"/>
    <w:rsid w:val="003938D9"/>
    <w:rsid w:val="00394376"/>
    <w:rsid w:val="003943FF"/>
    <w:rsid w:val="003974EB"/>
    <w:rsid w:val="00397CC5"/>
    <w:rsid w:val="003A11D1"/>
    <w:rsid w:val="003A1582"/>
    <w:rsid w:val="003A1951"/>
    <w:rsid w:val="003A3D9C"/>
    <w:rsid w:val="003A4077"/>
    <w:rsid w:val="003A4AA7"/>
    <w:rsid w:val="003A4CC6"/>
    <w:rsid w:val="003A6838"/>
    <w:rsid w:val="003B09AD"/>
    <w:rsid w:val="003B1F18"/>
    <w:rsid w:val="003B5BF0"/>
    <w:rsid w:val="003B60BF"/>
    <w:rsid w:val="003B6BE3"/>
    <w:rsid w:val="003C010C"/>
    <w:rsid w:val="003C0A6C"/>
    <w:rsid w:val="003C14F8"/>
    <w:rsid w:val="003C45B3"/>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076"/>
    <w:rsid w:val="00407D39"/>
    <w:rsid w:val="004114D1"/>
    <w:rsid w:val="0041477A"/>
    <w:rsid w:val="004167A3"/>
    <w:rsid w:val="0041705C"/>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4E4"/>
    <w:rsid w:val="00484936"/>
    <w:rsid w:val="00485C89"/>
    <w:rsid w:val="00486BE3"/>
    <w:rsid w:val="004905E4"/>
    <w:rsid w:val="00490A89"/>
    <w:rsid w:val="00490AB4"/>
    <w:rsid w:val="00492F02"/>
    <w:rsid w:val="004939AE"/>
    <w:rsid w:val="004A12DF"/>
    <w:rsid w:val="004A1BA8"/>
    <w:rsid w:val="004A23C8"/>
    <w:rsid w:val="004A4B57"/>
    <w:rsid w:val="004A63FA"/>
    <w:rsid w:val="004A6A3D"/>
    <w:rsid w:val="004A6B9A"/>
    <w:rsid w:val="004B0272"/>
    <w:rsid w:val="004B2701"/>
    <w:rsid w:val="004B2E1B"/>
    <w:rsid w:val="004B3AA8"/>
    <w:rsid w:val="004B3E93"/>
    <w:rsid w:val="004C10E0"/>
    <w:rsid w:val="004C1FBC"/>
    <w:rsid w:val="004C25A2"/>
    <w:rsid w:val="004C3F1D"/>
    <w:rsid w:val="004C458D"/>
    <w:rsid w:val="004C7556"/>
    <w:rsid w:val="004C7E8B"/>
    <w:rsid w:val="004C7E9D"/>
    <w:rsid w:val="004C7F67"/>
    <w:rsid w:val="004D076D"/>
    <w:rsid w:val="004D0EF1"/>
    <w:rsid w:val="004D1FDC"/>
    <w:rsid w:val="004D2253"/>
    <w:rsid w:val="004D3E5A"/>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4D9"/>
    <w:rsid w:val="0050363E"/>
    <w:rsid w:val="005039BC"/>
    <w:rsid w:val="005043BB"/>
    <w:rsid w:val="00504A3D"/>
    <w:rsid w:val="00505767"/>
    <w:rsid w:val="005073F0"/>
    <w:rsid w:val="00510A7B"/>
    <w:rsid w:val="00512F6E"/>
    <w:rsid w:val="00513038"/>
    <w:rsid w:val="00514174"/>
    <w:rsid w:val="0051553D"/>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2215"/>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87BC0"/>
    <w:rsid w:val="00593A49"/>
    <w:rsid w:val="00596160"/>
    <w:rsid w:val="005966E2"/>
    <w:rsid w:val="00597007"/>
    <w:rsid w:val="005A0966"/>
    <w:rsid w:val="005A11B7"/>
    <w:rsid w:val="005A260B"/>
    <w:rsid w:val="005A4A1B"/>
    <w:rsid w:val="005A4AF8"/>
    <w:rsid w:val="005A7830"/>
    <w:rsid w:val="005A7FCE"/>
    <w:rsid w:val="005B0C43"/>
    <w:rsid w:val="005B0F3F"/>
    <w:rsid w:val="005B191C"/>
    <w:rsid w:val="005B4903"/>
    <w:rsid w:val="005B51CE"/>
    <w:rsid w:val="005B5885"/>
    <w:rsid w:val="005B5CD7"/>
    <w:rsid w:val="005B6CF6"/>
    <w:rsid w:val="005B7422"/>
    <w:rsid w:val="005C29B8"/>
    <w:rsid w:val="005C5F21"/>
    <w:rsid w:val="005C6EA2"/>
    <w:rsid w:val="005C711A"/>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692"/>
    <w:rsid w:val="00615A9D"/>
    <w:rsid w:val="00617387"/>
    <w:rsid w:val="006205D6"/>
    <w:rsid w:val="006252D8"/>
    <w:rsid w:val="006259BC"/>
    <w:rsid w:val="0062636B"/>
    <w:rsid w:val="00627C63"/>
    <w:rsid w:val="00632182"/>
    <w:rsid w:val="00632AE0"/>
    <w:rsid w:val="00632EAE"/>
    <w:rsid w:val="00633C17"/>
    <w:rsid w:val="00634D9E"/>
    <w:rsid w:val="00636E3E"/>
    <w:rsid w:val="006379F7"/>
    <w:rsid w:val="00637E4D"/>
    <w:rsid w:val="00640620"/>
    <w:rsid w:val="00641A1F"/>
    <w:rsid w:val="00645904"/>
    <w:rsid w:val="00651ACB"/>
    <w:rsid w:val="00651C47"/>
    <w:rsid w:val="00652AB2"/>
    <w:rsid w:val="00652D59"/>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1EE9"/>
    <w:rsid w:val="006A25E5"/>
    <w:rsid w:val="006A2B46"/>
    <w:rsid w:val="006A336D"/>
    <w:rsid w:val="006A37B9"/>
    <w:rsid w:val="006A3D27"/>
    <w:rsid w:val="006B0706"/>
    <w:rsid w:val="006B1845"/>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93E"/>
    <w:rsid w:val="006E28E0"/>
    <w:rsid w:val="006F03A8"/>
    <w:rsid w:val="006F2ACA"/>
    <w:rsid w:val="006F2ADC"/>
    <w:rsid w:val="006F2BFE"/>
    <w:rsid w:val="006F31E9"/>
    <w:rsid w:val="006F6284"/>
    <w:rsid w:val="006F7AF8"/>
    <w:rsid w:val="007002C5"/>
    <w:rsid w:val="00701A97"/>
    <w:rsid w:val="00704387"/>
    <w:rsid w:val="00707669"/>
    <w:rsid w:val="007119D1"/>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16DB"/>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304"/>
    <w:rsid w:val="007959E8"/>
    <w:rsid w:val="00795E9C"/>
    <w:rsid w:val="007A0521"/>
    <w:rsid w:val="007A2E12"/>
    <w:rsid w:val="007A2FC3"/>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5230"/>
    <w:rsid w:val="008603CE"/>
    <w:rsid w:val="008620FC"/>
    <w:rsid w:val="008627A5"/>
    <w:rsid w:val="00863E05"/>
    <w:rsid w:val="00865ACA"/>
    <w:rsid w:val="00865D28"/>
    <w:rsid w:val="00865F85"/>
    <w:rsid w:val="00867C10"/>
    <w:rsid w:val="00870439"/>
    <w:rsid w:val="00870DA1"/>
    <w:rsid w:val="00876258"/>
    <w:rsid w:val="00883F93"/>
    <w:rsid w:val="00884521"/>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2B23"/>
    <w:rsid w:val="008A470F"/>
    <w:rsid w:val="008A57E6"/>
    <w:rsid w:val="008A6F81"/>
    <w:rsid w:val="008A769A"/>
    <w:rsid w:val="008B0C9C"/>
    <w:rsid w:val="008B166D"/>
    <w:rsid w:val="008B17F4"/>
    <w:rsid w:val="008B3615"/>
    <w:rsid w:val="008B4AC4"/>
    <w:rsid w:val="008B50C8"/>
    <w:rsid w:val="008B5281"/>
    <w:rsid w:val="008B7E05"/>
    <w:rsid w:val="008C1797"/>
    <w:rsid w:val="008C219C"/>
    <w:rsid w:val="008C3A0E"/>
    <w:rsid w:val="008C475E"/>
    <w:rsid w:val="008C619A"/>
    <w:rsid w:val="008D064E"/>
    <w:rsid w:val="008D0CE8"/>
    <w:rsid w:val="008D2D1D"/>
    <w:rsid w:val="008D453D"/>
    <w:rsid w:val="008D53AD"/>
    <w:rsid w:val="008D562B"/>
    <w:rsid w:val="008D5733"/>
    <w:rsid w:val="008D622B"/>
    <w:rsid w:val="008D666C"/>
    <w:rsid w:val="008D7373"/>
    <w:rsid w:val="008D7B54"/>
    <w:rsid w:val="008E0C9D"/>
    <w:rsid w:val="008E1648"/>
    <w:rsid w:val="008E1B3E"/>
    <w:rsid w:val="008E216B"/>
    <w:rsid w:val="008E2319"/>
    <w:rsid w:val="008E33C1"/>
    <w:rsid w:val="008E4BB6"/>
    <w:rsid w:val="008E5518"/>
    <w:rsid w:val="008E6A84"/>
    <w:rsid w:val="008F0CDC"/>
    <w:rsid w:val="008F1148"/>
    <w:rsid w:val="008F17A3"/>
    <w:rsid w:val="008F1ED3"/>
    <w:rsid w:val="008F4C29"/>
    <w:rsid w:val="008F6CDC"/>
    <w:rsid w:val="008F70BD"/>
    <w:rsid w:val="008F76DD"/>
    <w:rsid w:val="008F788F"/>
    <w:rsid w:val="008F7EA2"/>
    <w:rsid w:val="00902722"/>
    <w:rsid w:val="009027BC"/>
    <w:rsid w:val="009051AD"/>
    <w:rsid w:val="009062E6"/>
    <w:rsid w:val="0091001E"/>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0FE"/>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DB4"/>
    <w:rsid w:val="009B6029"/>
    <w:rsid w:val="009B6971"/>
    <w:rsid w:val="009C143F"/>
    <w:rsid w:val="009C27F1"/>
    <w:rsid w:val="009C3152"/>
    <w:rsid w:val="009C3257"/>
    <w:rsid w:val="009C4CFA"/>
    <w:rsid w:val="009C5070"/>
    <w:rsid w:val="009D0915"/>
    <w:rsid w:val="009D112C"/>
    <w:rsid w:val="009D1385"/>
    <w:rsid w:val="009D1C7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2DDC"/>
    <w:rsid w:val="00A06A6B"/>
    <w:rsid w:val="00A07E47"/>
    <w:rsid w:val="00A129D0"/>
    <w:rsid w:val="00A12C33"/>
    <w:rsid w:val="00A138BA"/>
    <w:rsid w:val="00A14C8E"/>
    <w:rsid w:val="00A153D9"/>
    <w:rsid w:val="00A15F09"/>
    <w:rsid w:val="00A169B6"/>
    <w:rsid w:val="00A2271D"/>
    <w:rsid w:val="00A2320F"/>
    <w:rsid w:val="00A237D5"/>
    <w:rsid w:val="00A30EFC"/>
    <w:rsid w:val="00A31984"/>
    <w:rsid w:val="00A32B16"/>
    <w:rsid w:val="00A32D73"/>
    <w:rsid w:val="00A3367B"/>
    <w:rsid w:val="00A33C67"/>
    <w:rsid w:val="00A3597D"/>
    <w:rsid w:val="00A36DD1"/>
    <w:rsid w:val="00A4006C"/>
    <w:rsid w:val="00A40091"/>
    <w:rsid w:val="00A4030F"/>
    <w:rsid w:val="00A41C79"/>
    <w:rsid w:val="00A41CB5"/>
    <w:rsid w:val="00A42CDF"/>
    <w:rsid w:val="00A42EFD"/>
    <w:rsid w:val="00A4452E"/>
    <w:rsid w:val="00A4472C"/>
    <w:rsid w:val="00A44E69"/>
    <w:rsid w:val="00A4661E"/>
    <w:rsid w:val="00A55BD6"/>
    <w:rsid w:val="00A55D50"/>
    <w:rsid w:val="00A57142"/>
    <w:rsid w:val="00A60F59"/>
    <w:rsid w:val="00A6118D"/>
    <w:rsid w:val="00A622F6"/>
    <w:rsid w:val="00A648CD"/>
    <w:rsid w:val="00A6537A"/>
    <w:rsid w:val="00A67866"/>
    <w:rsid w:val="00A70B07"/>
    <w:rsid w:val="00A723F8"/>
    <w:rsid w:val="00A75D3F"/>
    <w:rsid w:val="00A77CCB"/>
    <w:rsid w:val="00A83D8D"/>
    <w:rsid w:val="00A8446B"/>
    <w:rsid w:val="00A8473F"/>
    <w:rsid w:val="00A862D6"/>
    <w:rsid w:val="00A8715E"/>
    <w:rsid w:val="00A9295B"/>
    <w:rsid w:val="00A93B09"/>
    <w:rsid w:val="00A952D7"/>
    <w:rsid w:val="00A963F7"/>
    <w:rsid w:val="00A96AD8"/>
    <w:rsid w:val="00AA052C"/>
    <w:rsid w:val="00AA0A32"/>
    <w:rsid w:val="00AA1E45"/>
    <w:rsid w:val="00AA4286"/>
    <w:rsid w:val="00AA456B"/>
    <w:rsid w:val="00AA57F5"/>
    <w:rsid w:val="00AA672E"/>
    <w:rsid w:val="00AA6EC9"/>
    <w:rsid w:val="00AB6309"/>
    <w:rsid w:val="00AB6C5F"/>
    <w:rsid w:val="00AB7129"/>
    <w:rsid w:val="00AC27A6"/>
    <w:rsid w:val="00AC30F7"/>
    <w:rsid w:val="00AC3A5A"/>
    <w:rsid w:val="00AC4D95"/>
    <w:rsid w:val="00AC4D9C"/>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0EE"/>
    <w:rsid w:val="00B113DB"/>
    <w:rsid w:val="00B11D8A"/>
    <w:rsid w:val="00B12981"/>
    <w:rsid w:val="00B147DD"/>
    <w:rsid w:val="00B156FD"/>
    <w:rsid w:val="00B21F61"/>
    <w:rsid w:val="00B261F1"/>
    <w:rsid w:val="00B265BC"/>
    <w:rsid w:val="00B31FB1"/>
    <w:rsid w:val="00B33952"/>
    <w:rsid w:val="00B33A0B"/>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311"/>
    <w:rsid w:val="00B60ACF"/>
    <w:rsid w:val="00B62B58"/>
    <w:rsid w:val="00B65149"/>
    <w:rsid w:val="00B66567"/>
    <w:rsid w:val="00B66F52"/>
    <w:rsid w:val="00B66FE5"/>
    <w:rsid w:val="00B72880"/>
    <w:rsid w:val="00B758BF"/>
    <w:rsid w:val="00B76980"/>
    <w:rsid w:val="00B77EC8"/>
    <w:rsid w:val="00B827A6"/>
    <w:rsid w:val="00B831CE"/>
    <w:rsid w:val="00B85B37"/>
    <w:rsid w:val="00B86677"/>
    <w:rsid w:val="00B87131"/>
    <w:rsid w:val="00B939B1"/>
    <w:rsid w:val="00B96D40"/>
    <w:rsid w:val="00B97386"/>
    <w:rsid w:val="00BA0118"/>
    <w:rsid w:val="00BA263B"/>
    <w:rsid w:val="00BA2758"/>
    <w:rsid w:val="00BA42B2"/>
    <w:rsid w:val="00BA58D4"/>
    <w:rsid w:val="00BA5B9E"/>
    <w:rsid w:val="00BA7C9A"/>
    <w:rsid w:val="00BB5F8F"/>
    <w:rsid w:val="00BB657A"/>
    <w:rsid w:val="00BC1A4E"/>
    <w:rsid w:val="00BC5DC7"/>
    <w:rsid w:val="00BC6B8B"/>
    <w:rsid w:val="00BC73D8"/>
    <w:rsid w:val="00BD52D7"/>
    <w:rsid w:val="00BD5AD2"/>
    <w:rsid w:val="00BE22F3"/>
    <w:rsid w:val="00BE2D60"/>
    <w:rsid w:val="00BE5B52"/>
    <w:rsid w:val="00BE7B8D"/>
    <w:rsid w:val="00BF0993"/>
    <w:rsid w:val="00BF10A9"/>
    <w:rsid w:val="00BF1703"/>
    <w:rsid w:val="00BF231C"/>
    <w:rsid w:val="00BF51E5"/>
    <w:rsid w:val="00BF74A6"/>
    <w:rsid w:val="00C013AD"/>
    <w:rsid w:val="00C04904"/>
    <w:rsid w:val="00C056B3"/>
    <w:rsid w:val="00C103E5"/>
    <w:rsid w:val="00C128BB"/>
    <w:rsid w:val="00C12D53"/>
    <w:rsid w:val="00C13319"/>
    <w:rsid w:val="00C13EE9"/>
    <w:rsid w:val="00C21540"/>
    <w:rsid w:val="00C21906"/>
    <w:rsid w:val="00C21BFA"/>
    <w:rsid w:val="00C227B9"/>
    <w:rsid w:val="00C24C8D"/>
    <w:rsid w:val="00C25FE2"/>
    <w:rsid w:val="00C26B53"/>
    <w:rsid w:val="00C279B2"/>
    <w:rsid w:val="00C33E50"/>
    <w:rsid w:val="00C34C20"/>
    <w:rsid w:val="00C35A3E"/>
    <w:rsid w:val="00C376F4"/>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1D31"/>
    <w:rsid w:val="00C72380"/>
    <w:rsid w:val="00C72410"/>
    <w:rsid w:val="00C7287F"/>
    <w:rsid w:val="00C80CB8"/>
    <w:rsid w:val="00C819F8"/>
    <w:rsid w:val="00C8248C"/>
    <w:rsid w:val="00C830D8"/>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0FB3"/>
    <w:rsid w:val="00CB0FBA"/>
    <w:rsid w:val="00CB1A42"/>
    <w:rsid w:val="00CB1B0C"/>
    <w:rsid w:val="00CB2C0B"/>
    <w:rsid w:val="00CB43AF"/>
    <w:rsid w:val="00CB517D"/>
    <w:rsid w:val="00CC038D"/>
    <w:rsid w:val="00CC0455"/>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0939"/>
    <w:rsid w:val="00CF155A"/>
    <w:rsid w:val="00CF2947"/>
    <w:rsid w:val="00CF3E52"/>
    <w:rsid w:val="00CF500B"/>
    <w:rsid w:val="00CF686F"/>
    <w:rsid w:val="00CF6E60"/>
    <w:rsid w:val="00CF7BCA"/>
    <w:rsid w:val="00D008FD"/>
    <w:rsid w:val="00D0321C"/>
    <w:rsid w:val="00D035EC"/>
    <w:rsid w:val="00D06AB1"/>
    <w:rsid w:val="00D06FC1"/>
    <w:rsid w:val="00D072ED"/>
    <w:rsid w:val="00D076A3"/>
    <w:rsid w:val="00D07A16"/>
    <w:rsid w:val="00D1067E"/>
    <w:rsid w:val="00D10F50"/>
    <w:rsid w:val="00D11272"/>
    <w:rsid w:val="00D126F5"/>
    <w:rsid w:val="00D1489E"/>
    <w:rsid w:val="00D20737"/>
    <w:rsid w:val="00D2145D"/>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3B18"/>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7B0"/>
    <w:rsid w:val="00DF1961"/>
    <w:rsid w:val="00DF44DE"/>
    <w:rsid w:val="00DF545D"/>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46C"/>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66D04"/>
    <w:rsid w:val="00E70388"/>
    <w:rsid w:val="00E70F92"/>
    <w:rsid w:val="00E74313"/>
    <w:rsid w:val="00E74C54"/>
    <w:rsid w:val="00E7644D"/>
    <w:rsid w:val="00E76CA2"/>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4B1B"/>
    <w:rsid w:val="00EA58D1"/>
    <w:rsid w:val="00EA61BC"/>
    <w:rsid w:val="00EA681A"/>
    <w:rsid w:val="00EA735B"/>
    <w:rsid w:val="00EB1E69"/>
    <w:rsid w:val="00EB2086"/>
    <w:rsid w:val="00EB31ED"/>
    <w:rsid w:val="00EB5EDF"/>
    <w:rsid w:val="00EB60FE"/>
    <w:rsid w:val="00EB74DB"/>
    <w:rsid w:val="00EC3DF8"/>
    <w:rsid w:val="00EC5306"/>
    <w:rsid w:val="00EC5359"/>
    <w:rsid w:val="00EC53DA"/>
    <w:rsid w:val="00EC562A"/>
    <w:rsid w:val="00ED067A"/>
    <w:rsid w:val="00ED2B50"/>
    <w:rsid w:val="00ED75C2"/>
    <w:rsid w:val="00EE0350"/>
    <w:rsid w:val="00EE0719"/>
    <w:rsid w:val="00EE0E80"/>
    <w:rsid w:val="00EE613F"/>
    <w:rsid w:val="00EE62EB"/>
    <w:rsid w:val="00EE7295"/>
    <w:rsid w:val="00EE7869"/>
    <w:rsid w:val="00EF054A"/>
    <w:rsid w:val="00EF3235"/>
    <w:rsid w:val="00EF7076"/>
    <w:rsid w:val="00EF7E72"/>
    <w:rsid w:val="00F06D37"/>
    <w:rsid w:val="00F07AA2"/>
    <w:rsid w:val="00F07B9D"/>
    <w:rsid w:val="00F113A7"/>
    <w:rsid w:val="00F11586"/>
    <w:rsid w:val="00F1183B"/>
    <w:rsid w:val="00F11C9F"/>
    <w:rsid w:val="00F12263"/>
    <w:rsid w:val="00F1409D"/>
    <w:rsid w:val="00F14214"/>
    <w:rsid w:val="00F14F22"/>
    <w:rsid w:val="00F157A9"/>
    <w:rsid w:val="00F16F00"/>
    <w:rsid w:val="00F25BB6"/>
    <w:rsid w:val="00F26B7E"/>
    <w:rsid w:val="00F27A3B"/>
    <w:rsid w:val="00F3272F"/>
    <w:rsid w:val="00F32780"/>
    <w:rsid w:val="00F33817"/>
    <w:rsid w:val="00F420D5"/>
    <w:rsid w:val="00F439F8"/>
    <w:rsid w:val="00F451EA"/>
    <w:rsid w:val="00F45447"/>
    <w:rsid w:val="00F456C6"/>
    <w:rsid w:val="00F4577B"/>
    <w:rsid w:val="00F46496"/>
    <w:rsid w:val="00F474D0"/>
    <w:rsid w:val="00F47C92"/>
    <w:rsid w:val="00F50179"/>
    <w:rsid w:val="00F50E10"/>
    <w:rsid w:val="00F515EE"/>
    <w:rsid w:val="00F56511"/>
    <w:rsid w:val="00F615F0"/>
    <w:rsid w:val="00F6194E"/>
    <w:rsid w:val="00F623AC"/>
    <w:rsid w:val="00F6342A"/>
    <w:rsid w:val="00F6412A"/>
    <w:rsid w:val="00F65893"/>
    <w:rsid w:val="00F664D9"/>
    <w:rsid w:val="00F66A4A"/>
    <w:rsid w:val="00F71E22"/>
    <w:rsid w:val="00F72142"/>
    <w:rsid w:val="00F72AE7"/>
    <w:rsid w:val="00F80716"/>
    <w:rsid w:val="00F833BA"/>
    <w:rsid w:val="00F84FD0"/>
    <w:rsid w:val="00F859A8"/>
    <w:rsid w:val="00F86D87"/>
    <w:rsid w:val="00F9108B"/>
    <w:rsid w:val="00F91349"/>
    <w:rsid w:val="00F93A8A"/>
    <w:rsid w:val="00F95248"/>
    <w:rsid w:val="00F956A9"/>
    <w:rsid w:val="00F960C2"/>
    <w:rsid w:val="00F963ED"/>
    <w:rsid w:val="00F966CF"/>
    <w:rsid w:val="00F96CAE"/>
    <w:rsid w:val="00F97C99"/>
    <w:rsid w:val="00FA662D"/>
    <w:rsid w:val="00FA73B1"/>
    <w:rsid w:val="00FB0CB9"/>
    <w:rsid w:val="00FB22B7"/>
    <w:rsid w:val="00FB231D"/>
    <w:rsid w:val="00FB45F1"/>
    <w:rsid w:val="00FB4A72"/>
    <w:rsid w:val="00FB539F"/>
    <w:rsid w:val="00FB54E8"/>
    <w:rsid w:val="00FB7054"/>
    <w:rsid w:val="00FC0E8C"/>
    <w:rsid w:val="00FC17B7"/>
    <w:rsid w:val="00FC2CB7"/>
    <w:rsid w:val="00FC4090"/>
    <w:rsid w:val="00FC55B4"/>
    <w:rsid w:val="00FC649D"/>
    <w:rsid w:val="00FD00E6"/>
    <w:rsid w:val="00FD09A1"/>
    <w:rsid w:val="00FD2A7C"/>
    <w:rsid w:val="00FD4CEF"/>
    <w:rsid w:val="00FD59EB"/>
    <w:rsid w:val="00FD7299"/>
    <w:rsid w:val="00FD7B38"/>
    <w:rsid w:val="00FE1FBE"/>
    <w:rsid w:val="00FE3901"/>
    <w:rsid w:val="00FE39D3"/>
    <w:rsid w:val="00FE4BCE"/>
    <w:rsid w:val="00FE54AE"/>
    <w:rsid w:val="00FE576A"/>
    <w:rsid w:val="00FE7E79"/>
    <w:rsid w:val="00FF3E7D"/>
    <w:rsid w:val="00FF5B99"/>
    <w:rsid w:val="00FF730C"/>
    <w:rsid w:val="00FF73F4"/>
    <w:rsid w:val="00FF7CE4"/>
    <w:rsid w:val="00FF7E39"/>
    <w:rsid w:val="01E7687A"/>
    <w:rsid w:val="01EA20B6"/>
    <w:rsid w:val="01FB0577"/>
    <w:rsid w:val="0241242E"/>
    <w:rsid w:val="024C492F"/>
    <w:rsid w:val="02B43DE2"/>
    <w:rsid w:val="03024CFF"/>
    <w:rsid w:val="031749CC"/>
    <w:rsid w:val="03CB0C0E"/>
    <w:rsid w:val="03D52D80"/>
    <w:rsid w:val="04206073"/>
    <w:rsid w:val="04730898"/>
    <w:rsid w:val="056F2CF7"/>
    <w:rsid w:val="05EB5456"/>
    <w:rsid w:val="0648365F"/>
    <w:rsid w:val="06C158EB"/>
    <w:rsid w:val="080F329E"/>
    <w:rsid w:val="085F5438"/>
    <w:rsid w:val="08A640D8"/>
    <w:rsid w:val="09830C64"/>
    <w:rsid w:val="0AA712A4"/>
    <w:rsid w:val="0B855E5B"/>
    <w:rsid w:val="0C7026C4"/>
    <w:rsid w:val="0CFD1647"/>
    <w:rsid w:val="0F73510E"/>
    <w:rsid w:val="0F7A5454"/>
    <w:rsid w:val="101B543F"/>
    <w:rsid w:val="105D3BF9"/>
    <w:rsid w:val="10B1077E"/>
    <w:rsid w:val="10BE2E9B"/>
    <w:rsid w:val="11011608"/>
    <w:rsid w:val="111E393A"/>
    <w:rsid w:val="117D7933"/>
    <w:rsid w:val="13A7550E"/>
    <w:rsid w:val="13D848ED"/>
    <w:rsid w:val="147A17CF"/>
    <w:rsid w:val="15D72771"/>
    <w:rsid w:val="161A4AAE"/>
    <w:rsid w:val="1693572B"/>
    <w:rsid w:val="16FB4E84"/>
    <w:rsid w:val="174340FA"/>
    <w:rsid w:val="178A6601"/>
    <w:rsid w:val="17FD699F"/>
    <w:rsid w:val="18C66D91"/>
    <w:rsid w:val="18D25736"/>
    <w:rsid w:val="18E44AA3"/>
    <w:rsid w:val="190B0C48"/>
    <w:rsid w:val="1A180468"/>
    <w:rsid w:val="1AA70EF9"/>
    <w:rsid w:val="1AD2177C"/>
    <w:rsid w:val="1B322073"/>
    <w:rsid w:val="1B6C77FA"/>
    <w:rsid w:val="1BCF6369"/>
    <w:rsid w:val="1CD51C99"/>
    <w:rsid w:val="1D8611E5"/>
    <w:rsid w:val="1E1F6896"/>
    <w:rsid w:val="1F600A03"/>
    <w:rsid w:val="20415E2B"/>
    <w:rsid w:val="20DA787E"/>
    <w:rsid w:val="20ED576A"/>
    <w:rsid w:val="213F1567"/>
    <w:rsid w:val="214E5B76"/>
    <w:rsid w:val="21A659B2"/>
    <w:rsid w:val="220D2602"/>
    <w:rsid w:val="22433E8B"/>
    <w:rsid w:val="236E24FF"/>
    <w:rsid w:val="240422A6"/>
    <w:rsid w:val="25485BB9"/>
    <w:rsid w:val="25B508B9"/>
    <w:rsid w:val="280329EB"/>
    <w:rsid w:val="28C33C5B"/>
    <w:rsid w:val="29B816E7"/>
    <w:rsid w:val="2C0C3D39"/>
    <w:rsid w:val="2ED115AB"/>
    <w:rsid w:val="33A04957"/>
    <w:rsid w:val="35BB5A78"/>
    <w:rsid w:val="35C81F43"/>
    <w:rsid w:val="36031DE7"/>
    <w:rsid w:val="36201D7F"/>
    <w:rsid w:val="363B2715"/>
    <w:rsid w:val="371A00B9"/>
    <w:rsid w:val="37B428BC"/>
    <w:rsid w:val="37B564F7"/>
    <w:rsid w:val="38080D1C"/>
    <w:rsid w:val="38A24AEC"/>
    <w:rsid w:val="38AE3672"/>
    <w:rsid w:val="399C7DE4"/>
    <w:rsid w:val="39C51C20"/>
    <w:rsid w:val="3A8A2F6E"/>
    <w:rsid w:val="3AAF722D"/>
    <w:rsid w:val="3CD1792F"/>
    <w:rsid w:val="3CF939C7"/>
    <w:rsid w:val="3E650719"/>
    <w:rsid w:val="3E857342"/>
    <w:rsid w:val="3F890995"/>
    <w:rsid w:val="3FE355E7"/>
    <w:rsid w:val="4235606B"/>
    <w:rsid w:val="425D3A15"/>
    <w:rsid w:val="42F6797A"/>
    <w:rsid w:val="44F329DD"/>
    <w:rsid w:val="45C70839"/>
    <w:rsid w:val="464554D0"/>
    <w:rsid w:val="46537607"/>
    <w:rsid w:val="46767799"/>
    <w:rsid w:val="476B4E24"/>
    <w:rsid w:val="477043BF"/>
    <w:rsid w:val="49783D72"/>
    <w:rsid w:val="4A0A0924"/>
    <w:rsid w:val="4A271F13"/>
    <w:rsid w:val="4C815E38"/>
    <w:rsid w:val="4CC42496"/>
    <w:rsid w:val="4CD02B62"/>
    <w:rsid w:val="4DA22C22"/>
    <w:rsid w:val="4DAB7D28"/>
    <w:rsid w:val="4DCC40AD"/>
    <w:rsid w:val="4DE1313D"/>
    <w:rsid w:val="4EB1587B"/>
    <w:rsid w:val="4FEB1908"/>
    <w:rsid w:val="513645C3"/>
    <w:rsid w:val="531B2907"/>
    <w:rsid w:val="53277E51"/>
    <w:rsid w:val="54A64EC3"/>
    <w:rsid w:val="55990141"/>
    <w:rsid w:val="55F84CE8"/>
    <w:rsid w:val="56AE5351"/>
    <w:rsid w:val="57750D3B"/>
    <w:rsid w:val="57814A98"/>
    <w:rsid w:val="57A97BBB"/>
    <w:rsid w:val="57DB3900"/>
    <w:rsid w:val="58906015"/>
    <w:rsid w:val="58D2260D"/>
    <w:rsid w:val="59611BE3"/>
    <w:rsid w:val="5A1966F4"/>
    <w:rsid w:val="5ABC682F"/>
    <w:rsid w:val="5C7F2AAC"/>
    <w:rsid w:val="5C9D73D6"/>
    <w:rsid w:val="5D5C2DED"/>
    <w:rsid w:val="5EC47460"/>
    <w:rsid w:val="5F5917A7"/>
    <w:rsid w:val="5F6373A9"/>
    <w:rsid w:val="5FBE0619"/>
    <w:rsid w:val="5FD25509"/>
    <w:rsid w:val="60E50E3F"/>
    <w:rsid w:val="61B175D9"/>
    <w:rsid w:val="624F6F55"/>
    <w:rsid w:val="628A3F58"/>
    <w:rsid w:val="634B612E"/>
    <w:rsid w:val="64B81251"/>
    <w:rsid w:val="64BF53DF"/>
    <w:rsid w:val="64F8164D"/>
    <w:rsid w:val="65AB0D67"/>
    <w:rsid w:val="664571D6"/>
    <w:rsid w:val="66541BDE"/>
    <w:rsid w:val="696C260A"/>
    <w:rsid w:val="69C42446"/>
    <w:rsid w:val="6A076203"/>
    <w:rsid w:val="6AB37DC4"/>
    <w:rsid w:val="6AC36259"/>
    <w:rsid w:val="6C0D58DC"/>
    <w:rsid w:val="6E1214F4"/>
    <w:rsid w:val="6EF82E2A"/>
    <w:rsid w:val="6F5C36AC"/>
    <w:rsid w:val="6FCE63D2"/>
    <w:rsid w:val="6FCE79D1"/>
    <w:rsid w:val="70293003"/>
    <w:rsid w:val="70DE0559"/>
    <w:rsid w:val="72D464C7"/>
    <w:rsid w:val="73DB10C1"/>
    <w:rsid w:val="73FC458A"/>
    <w:rsid w:val="750D650E"/>
    <w:rsid w:val="768C6EE2"/>
    <w:rsid w:val="76C7130A"/>
    <w:rsid w:val="773B2CFE"/>
    <w:rsid w:val="775C3CBE"/>
    <w:rsid w:val="79ED0CED"/>
    <w:rsid w:val="7A3249E0"/>
    <w:rsid w:val="7A635363"/>
    <w:rsid w:val="7B0A2743"/>
    <w:rsid w:val="7C6545D6"/>
    <w:rsid w:val="7CAC0188"/>
    <w:rsid w:val="7D2E4B27"/>
    <w:rsid w:val="7E1626C8"/>
    <w:rsid w:val="7F42032F"/>
    <w:rsid w:val="7F91454A"/>
    <w:rsid w:val="7FEC3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uiPriority w:val="99"/>
    <w:pPr>
      <w:jc w:val="left"/>
    </w:p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next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rPr>
      <w:sz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ind w:left="141"/>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ind w:left="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Times New Roman"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style>
  <w:style w:type="paragraph" w:customStyle="1" w:styleId="191">
    <w:name w:val="标准文件_一级项2"/>
    <w:basedOn w:val="58"/>
    <w:qFormat/>
    <w:uiPriority w:val="0"/>
    <w:pPr>
      <w:numPr>
        <w:ilvl w:val="0"/>
        <w:numId w:val="31"/>
      </w:numPr>
      <w:spacing w:line="300" w:lineRule="exact"/>
      <w:ind w:firstLineChars="0"/>
    </w:p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ruanjian\set2025\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B66D5346CBF4AD5A26DF16C8EFD6ED1"/>
        <w:style w:val=""/>
        <w:category>
          <w:name w:val="常规"/>
          <w:gallery w:val="placeholder"/>
        </w:category>
        <w:types>
          <w:type w:val="bbPlcHdr"/>
        </w:types>
        <w:behaviors>
          <w:behavior w:val="content"/>
        </w:behaviors>
        <w:description w:val=""/>
        <w:guid w:val="{ED566377-A3A1-4E6D-9251-1BF0888E8F76}"/>
      </w:docPartPr>
      <w:docPartBody>
        <w:p w14:paraId="5D83ADFB">
          <w:pPr>
            <w:pStyle w:val="5"/>
          </w:pPr>
          <w:r>
            <w:rPr>
              <w:rStyle w:val="4"/>
              <w:rFonts w:hint="eastAsia"/>
            </w:rPr>
            <w:t>单击或点击此处输入文字。</w:t>
          </w:r>
        </w:p>
      </w:docPartBody>
    </w:docPart>
    <w:docPart>
      <w:docPartPr>
        <w:name w:val="E8235D4B65684E8683CD764C39E1830D"/>
        <w:style w:val=""/>
        <w:category>
          <w:name w:val="常规"/>
          <w:gallery w:val="placeholder"/>
        </w:category>
        <w:types>
          <w:type w:val="bbPlcHdr"/>
        </w:types>
        <w:behaviors>
          <w:behavior w:val="content"/>
        </w:behaviors>
        <w:description w:val=""/>
        <w:guid w:val="{45446668-6263-41C2-863D-2E2AF648184E}"/>
      </w:docPartPr>
      <w:docPartBody>
        <w:p w14:paraId="709A8177">
          <w:pPr>
            <w:pStyle w:val="6"/>
          </w:pPr>
          <w:r>
            <w:rPr>
              <w:rStyle w:val="4"/>
              <w:rFonts w:hint="eastAsia"/>
            </w:rPr>
            <w:t>选择一项。</w:t>
          </w:r>
        </w:p>
      </w:docPartBody>
    </w:docPart>
    <w:docPart>
      <w:docPartPr>
        <w:name w:val="1CF8D949331E4EC795B7EBD4ED4FE0B0"/>
        <w:style w:val=""/>
        <w:category>
          <w:name w:val="常规"/>
          <w:gallery w:val="placeholder"/>
        </w:category>
        <w:types>
          <w:type w:val="bbPlcHdr"/>
        </w:types>
        <w:behaviors>
          <w:behavior w:val="content"/>
        </w:behaviors>
        <w:description w:val=""/>
        <w:guid w:val="{B87ECDF8-E963-424B-B4E7-D697DFA45CA7}"/>
      </w:docPartPr>
      <w:docPartBody>
        <w:p w14:paraId="1E77FB7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30A"/>
    <w:rsid w:val="000235FE"/>
    <w:rsid w:val="000963AB"/>
    <w:rsid w:val="000A4F90"/>
    <w:rsid w:val="000D205F"/>
    <w:rsid w:val="001509C9"/>
    <w:rsid w:val="001B367C"/>
    <w:rsid w:val="001D5B27"/>
    <w:rsid w:val="002E4B19"/>
    <w:rsid w:val="003F30A2"/>
    <w:rsid w:val="00405FCF"/>
    <w:rsid w:val="005728FE"/>
    <w:rsid w:val="006176B2"/>
    <w:rsid w:val="007836D3"/>
    <w:rsid w:val="007E4D1F"/>
    <w:rsid w:val="008E3C15"/>
    <w:rsid w:val="00913A0B"/>
    <w:rsid w:val="009466C7"/>
    <w:rsid w:val="00981192"/>
    <w:rsid w:val="009C08CE"/>
    <w:rsid w:val="009F7DEB"/>
    <w:rsid w:val="00A94393"/>
    <w:rsid w:val="00B94B32"/>
    <w:rsid w:val="00C005A8"/>
    <w:rsid w:val="00DA2A35"/>
    <w:rsid w:val="00DE330A"/>
    <w:rsid w:val="00EB1981"/>
    <w:rsid w:val="00F07FDE"/>
    <w:rsid w:val="00FB7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B66D5346CBF4AD5A26DF16C8EFD6ED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8235D4B65684E8683CD764C39E183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CF8D949331E4EC795B7EBD4ED4FE0B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6FB185-5A52-4E5B-B15F-BF953DCF9F99}">
  <ds:schemaRefs/>
</ds:datastoreItem>
</file>

<file path=docProps/app.xml><?xml version="1.0" encoding="utf-8"?>
<Properties xmlns="http://schemas.openxmlformats.org/officeDocument/2006/extended-properties" xmlns:vt="http://schemas.openxmlformats.org/officeDocument/2006/docPropsVTypes">
  <Template>团体标准</Template>
  <Pages>7</Pages>
  <Words>3749</Words>
  <Characters>4270</Characters>
  <Lines>50</Lines>
  <Paragraphs>14</Paragraphs>
  <TotalTime>2</TotalTime>
  <ScaleCrop>false</ScaleCrop>
  <LinksUpToDate>false</LinksUpToDate>
  <CharactersWithSpaces>4415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2025-06-24T12:18:00Z</dcterms:created>
  <dc:creator>TDBN</dc:creator>
  <cp:lastModifiedBy>静口</cp:lastModifiedBy>
  <cp:lastPrinted>2021-02-02T08:22:00Z</cp:lastPrinted>
  <dcterms:modified xsi:type="dcterms:W3CDTF">2026-07-07T02:41:06Z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eyJoZGlkIjoiMmExNjNmZjNiMmM1MjVhOGNmODNlZTQ2N2M0NjM5MzgiLCJ1c2VySWQiOiI0MjIwNzczNTYifQ==</vt:lpwstr>
  </property>
  <property fmtid="{D5CDD505-2E9C-101B-9397-08002B2CF9AE}" pid="15" name="KSOProductBuildVer">
    <vt:lpwstr>2052-12.1.0.26895</vt:lpwstr>
  </property>
  <property fmtid="{D5CDD505-2E9C-101B-9397-08002B2CF9AE}" pid="16" name="ICV">
    <vt:lpwstr>571ADF10336042B681BFD2FEECFF2BC7_13</vt:lpwstr>
  </property>
</Properties>
</file>