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23C211">
      <w:pPr>
        <w:pStyle w:val="9"/>
        <w:framePr w:w="0" w:hRule="auto" w:wrap="auto" w:vAnchor="margin" w:hAnchor="text" w:xAlign="left" w:yAlign="inline"/>
        <w:spacing w:line="360" w:lineRule="auto"/>
        <w:rPr>
          <w:rFonts w:hint="eastAsia" w:ascii="仿宋" w:hAnsi="仿宋" w:eastAsia="仿宋"/>
          <w:b/>
          <w:bCs/>
          <w:szCs w:val="52"/>
        </w:rPr>
      </w:pPr>
      <w:bookmarkStart w:id="0" w:name="_Hlk139125397"/>
      <w:r>
        <w:rPr>
          <w:rFonts w:hint="eastAsia" w:ascii="仿宋" w:hAnsi="仿宋" w:eastAsia="仿宋"/>
          <w:b/>
          <w:bCs/>
          <w:szCs w:val="52"/>
        </w:rPr>
        <w:t>宁夏机械工程学会团体标准</w:t>
      </w:r>
    </w:p>
    <w:p w14:paraId="09D8D54E">
      <w:pPr>
        <w:pStyle w:val="9"/>
        <w:framePr w:w="0" w:hRule="auto" w:wrap="auto" w:vAnchor="margin" w:hAnchor="text" w:xAlign="left" w:yAlign="inline"/>
        <w:spacing w:line="360" w:lineRule="auto"/>
        <w:rPr>
          <w:rFonts w:hint="eastAsia" w:ascii="仿宋" w:hAnsi="仿宋" w:eastAsia="仿宋"/>
          <w:b/>
          <w:bCs/>
          <w:szCs w:val="52"/>
        </w:rPr>
      </w:pPr>
      <w:r>
        <w:rPr>
          <w:rFonts w:hint="eastAsia" w:ascii="仿宋" w:hAnsi="仿宋" w:eastAsia="仿宋"/>
          <w:b/>
          <w:bCs/>
          <w:szCs w:val="52"/>
        </w:rPr>
        <w:t>（征求意见稿）</w:t>
      </w:r>
    </w:p>
    <w:p w14:paraId="5E7BBD9E">
      <w:pPr>
        <w:pStyle w:val="9"/>
        <w:framePr w:w="0" w:hRule="auto" w:wrap="auto" w:vAnchor="margin" w:hAnchor="text" w:xAlign="left" w:yAlign="inline"/>
        <w:spacing w:line="360" w:lineRule="auto"/>
        <w:rPr>
          <w:rFonts w:hint="eastAsia" w:ascii="仿宋" w:hAnsi="仿宋" w:eastAsia="仿宋"/>
          <w:b/>
          <w:bCs/>
          <w:szCs w:val="52"/>
        </w:rPr>
      </w:pPr>
      <w:r>
        <w:rPr>
          <w:rFonts w:hint="eastAsia" w:ascii="仿宋" w:hAnsi="仿宋" w:eastAsia="仿宋"/>
          <w:b/>
          <w:bCs/>
          <w:szCs w:val="52"/>
        </w:rPr>
        <w:t>《</w:t>
      </w:r>
      <w:r>
        <w:rPr>
          <w:rFonts w:ascii="仿宋" w:hAnsi="仿宋" w:eastAsia="仿宋"/>
          <w:b/>
          <w:bCs/>
          <w:szCs w:val="52"/>
        </w:rPr>
        <w:t>煤矿井下工作面设备用润滑脂自动加注装置</w:t>
      </w:r>
      <w:r>
        <w:rPr>
          <w:rFonts w:hint="eastAsia" w:ascii="仿宋" w:hAnsi="仿宋" w:eastAsia="仿宋"/>
          <w:b/>
          <w:bCs/>
          <w:szCs w:val="52"/>
        </w:rPr>
        <w:t>》</w:t>
      </w:r>
    </w:p>
    <w:bookmarkEnd w:id="0"/>
    <w:p w14:paraId="4C263DA6"/>
    <w:p w14:paraId="7217EEAE"/>
    <w:p w14:paraId="1B2C8033"/>
    <w:p w14:paraId="153EE917"/>
    <w:p w14:paraId="2980D28D"/>
    <w:p w14:paraId="4E1A31BB"/>
    <w:p w14:paraId="5DF2A9D9"/>
    <w:p w14:paraId="416ADEA5">
      <w:pPr>
        <w:adjustRightInd w:val="0"/>
        <w:snapToGrid w:val="0"/>
        <w:spacing w:line="360" w:lineRule="auto"/>
        <w:jc w:val="center"/>
        <w:rPr>
          <w:rFonts w:hint="eastAsia" w:ascii="宋体" w:hAnsi="宋体"/>
          <w:bCs/>
          <w:sz w:val="44"/>
          <w:szCs w:val="44"/>
        </w:rPr>
      </w:pPr>
      <w:r>
        <w:rPr>
          <w:rFonts w:hint="eastAsia" w:ascii="宋体" w:hAnsi="宋体"/>
          <w:bCs/>
          <w:sz w:val="44"/>
          <w:szCs w:val="44"/>
        </w:rPr>
        <w:t>编制说明</w:t>
      </w:r>
    </w:p>
    <w:p w14:paraId="3BEC4099">
      <w:pPr>
        <w:jc w:val="center"/>
      </w:pPr>
    </w:p>
    <w:p w14:paraId="7177138F">
      <w:pPr>
        <w:jc w:val="center"/>
      </w:pPr>
    </w:p>
    <w:p w14:paraId="003636F6">
      <w:pPr>
        <w:jc w:val="center"/>
      </w:pPr>
    </w:p>
    <w:p w14:paraId="3AE71EF5">
      <w:pPr>
        <w:jc w:val="center"/>
      </w:pPr>
    </w:p>
    <w:p w14:paraId="4F9B818F">
      <w:pPr>
        <w:jc w:val="center"/>
      </w:pPr>
    </w:p>
    <w:p w14:paraId="1BC62A09">
      <w:pPr>
        <w:jc w:val="center"/>
      </w:pPr>
    </w:p>
    <w:p w14:paraId="798785D2">
      <w:pPr>
        <w:adjustRightInd w:val="0"/>
        <w:snapToGrid w:val="0"/>
        <w:spacing w:line="360" w:lineRule="auto"/>
        <w:jc w:val="center"/>
        <w:rPr>
          <w:rFonts w:hint="eastAsia" w:ascii="宋体" w:hAnsi="宋体"/>
          <w:bCs/>
          <w:sz w:val="32"/>
          <w:szCs w:val="32"/>
        </w:rPr>
      </w:pPr>
      <w:r>
        <w:rPr>
          <w:rFonts w:hint="eastAsia" w:ascii="宋体" w:hAnsi="宋体"/>
          <w:bCs/>
          <w:sz w:val="32"/>
          <w:szCs w:val="32"/>
        </w:rPr>
        <w:t>宁夏天地奔牛实业集团有限公司</w:t>
      </w:r>
    </w:p>
    <w:p w14:paraId="777E02D4">
      <w:pPr>
        <w:adjustRightInd w:val="0"/>
        <w:snapToGrid w:val="0"/>
        <w:spacing w:line="360" w:lineRule="auto"/>
        <w:jc w:val="center"/>
        <w:rPr>
          <w:rFonts w:hint="eastAsia" w:ascii="宋体" w:hAnsi="宋体"/>
          <w:bCs/>
          <w:sz w:val="32"/>
          <w:szCs w:val="32"/>
        </w:rPr>
      </w:pPr>
      <w:r>
        <w:rPr>
          <w:rFonts w:hint="eastAsia" w:ascii="宋体" w:hAnsi="宋体"/>
          <w:bCs/>
          <w:sz w:val="32"/>
          <w:szCs w:val="32"/>
        </w:rPr>
        <w:t>宁夏天地奔牛链条有限公司</w:t>
      </w:r>
    </w:p>
    <w:p w14:paraId="44208197">
      <w:pPr>
        <w:adjustRightInd w:val="0"/>
        <w:snapToGrid w:val="0"/>
        <w:spacing w:line="360" w:lineRule="auto"/>
        <w:jc w:val="center"/>
        <w:rPr>
          <w:rFonts w:hint="eastAsia" w:ascii="宋体" w:hAnsi="宋体"/>
          <w:bCs/>
          <w:sz w:val="36"/>
          <w:szCs w:val="36"/>
        </w:rPr>
      </w:pPr>
      <w:r>
        <w:rPr>
          <w:rFonts w:hint="eastAsia" w:ascii="宋体" w:hAnsi="宋体"/>
          <w:bCs/>
          <w:sz w:val="32"/>
          <w:szCs w:val="32"/>
        </w:rPr>
        <w:t>宁夏天地奔牛传动科技有限公司</w:t>
      </w:r>
    </w:p>
    <w:p w14:paraId="2E186735">
      <w:pPr>
        <w:adjustRightInd w:val="0"/>
        <w:snapToGrid w:val="0"/>
        <w:spacing w:line="360" w:lineRule="auto"/>
        <w:jc w:val="center"/>
        <w:rPr>
          <w:rFonts w:hint="eastAsia" w:ascii="宋体" w:hAnsi="宋体"/>
          <w:bCs/>
          <w:sz w:val="36"/>
          <w:szCs w:val="36"/>
        </w:rPr>
      </w:pPr>
    </w:p>
    <w:p w14:paraId="793C1E90">
      <w:pPr>
        <w:adjustRightInd w:val="0"/>
        <w:snapToGrid w:val="0"/>
        <w:spacing w:line="360" w:lineRule="auto"/>
        <w:jc w:val="center"/>
        <w:rPr>
          <w:rFonts w:hint="eastAsia" w:ascii="宋体" w:hAnsi="宋体"/>
          <w:bCs/>
          <w:sz w:val="36"/>
          <w:szCs w:val="36"/>
        </w:rPr>
      </w:pPr>
    </w:p>
    <w:p w14:paraId="126D7101">
      <w:pPr>
        <w:adjustRightInd w:val="0"/>
        <w:snapToGrid w:val="0"/>
        <w:spacing w:line="360" w:lineRule="auto"/>
        <w:jc w:val="center"/>
        <w:rPr>
          <w:rFonts w:hint="eastAsia" w:ascii="宋体" w:hAnsi="宋体"/>
          <w:bCs/>
          <w:sz w:val="36"/>
          <w:szCs w:val="36"/>
        </w:rPr>
      </w:pPr>
    </w:p>
    <w:p w14:paraId="0B94DC0E">
      <w:pPr>
        <w:adjustRightInd w:val="0"/>
        <w:snapToGrid w:val="0"/>
        <w:spacing w:line="360" w:lineRule="auto"/>
        <w:jc w:val="center"/>
        <w:rPr>
          <w:rFonts w:hint="eastAsia" w:ascii="宋体" w:hAnsi="宋体"/>
          <w:bCs/>
          <w:sz w:val="36"/>
          <w:szCs w:val="36"/>
        </w:rPr>
      </w:pPr>
      <w:r>
        <w:rPr>
          <w:rFonts w:hint="eastAsia" w:ascii="宋体" w:hAnsi="宋体"/>
          <w:bCs/>
          <w:sz w:val="36"/>
          <w:szCs w:val="36"/>
        </w:rPr>
        <w:t>2026年7月</w:t>
      </w:r>
    </w:p>
    <w:p w14:paraId="68CAAA66">
      <w:pPr>
        <w:adjustRightInd w:val="0"/>
        <w:snapToGrid w:val="0"/>
        <w:spacing w:line="360" w:lineRule="auto"/>
        <w:jc w:val="center"/>
        <w:rPr>
          <w:rFonts w:hint="eastAsia" w:ascii="宋体" w:hAnsi="宋体"/>
          <w:bCs/>
          <w:sz w:val="36"/>
          <w:szCs w:val="36"/>
        </w:rPr>
      </w:pPr>
    </w:p>
    <w:p w14:paraId="78846BE5">
      <w:pPr>
        <w:adjustRightInd w:val="0"/>
        <w:snapToGrid w:val="0"/>
        <w:spacing w:line="360" w:lineRule="auto"/>
        <w:jc w:val="center"/>
        <w:rPr>
          <w:rFonts w:hint="eastAsia" w:ascii="宋体" w:hAnsi="宋体"/>
          <w:bCs/>
          <w:sz w:val="36"/>
          <w:szCs w:val="36"/>
        </w:rPr>
      </w:pPr>
    </w:p>
    <w:p w14:paraId="6212311D">
      <w:pPr>
        <w:pStyle w:val="23"/>
        <w:numPr>
          <w:ilvl w:val="0"/>
          <w:numId w:val="6"/>
        </w:numPr>
        <w:spacing w:line="360" w:lineRule="auto"/>
        <w:ind w:firstLineChars="0"/>
        <w:rPr>
          <w:rFonts w:hint="eastAsia" w:ascii="黑体" w:hAnsi="黑体" w:eastAsia="黑体"/>
          <w:sz w:val="28"/>
          <w:szCs w:val="28"/>
        </w:rPr>
      </w:pPr>
      <w:r>
        <w:rPr>
          <w:rFonts w:hint="eastAsia" w:ascii="黑体" w:hAnsi="黑体" w:eastAsia="黑体"/>
          <w:b/>
          <w:bCs/>
          <w:sz w:val="28"/>
          <w:szCs w:val="28"/>
        </w:rPr>
        <w:t>工作简况</w:t>
      </w:r>
    </w:p>
    <w:p w14:paraId="6EF316C0">
      <w:pPr>
        <w:pStyle w:val="23"/>
        <w:numPr>
          <w:ilvl w:val="0"/>
          <w:numId w:val="7"/>
        </w:numPr>
        <w:spacing w:line="360" w:lineRule="auto"/>
        <w:ind w:firstLineChars="0"/>
        <w:rPr>
          <w:rFonts w:hint="eastAsia" w:ascii="宋体" w:hAnsi="宋体"/>
          <w:b/>
          <w:bCs/>
          <w:sz w:val="24"/>
          <w:szCs w:val="24"/>
        </w:rPr>
      </w:pPr>
      <w:r>
        <w:rPr>
          <w:rFonts w:hint="eastAsia" w:ascii="宋体" w:hAnsi="宋体"/>
          <w:b/>
          <w:bCs/>
          <w:sz w:val="24"/>
          <w:szCs w:val="24"/>
        </w:rPr>
        <w:t>任务来源</w:t>
      </w:r>
    </w:p>
    <w:p w14:paraId="7EBCAF32">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本项目是根据宁夏机械工程学会标准制修订计划（宁机学字〔2026〕07号），计划编号</w:t>
      </w:r>
      <w:r>
        <w:rPr>
          <w:rFonts w:ascii="宋体" w:hAnsi="宋体" w:eastAsia="宋体"/>
          <w:sz w:val="24"/>
          <w:szCs w:val="24"/>
        </w:rPr>
        <w:t>202</w:t>
      </w:r>
      <w:r>
        <w:rPr>
          <w:rFonts w:hint="eastAsia" w:ascii="宋体" w:hAnsi="宋体" w:eastAsia="宋体"/>
          <w:sz w:val="24"/>
          <w:szCs w:val="24"/>
        </w:rPr>
        <w:t>6</w:t>
      </w:r>
      <w:r>
        <w:rPr>
          <w:rFonts w:ascii="宋体" w:hAnsi="宋体" w:eastAsia="宋体"/>
          <w:sz w:val="24"/>
          <w:szCs w:val="24"/>
        </w:rPr>
        <w:t>-01</w:t>
      </w:r>
      <w:r>
        <w:rPr>
          <w:rFonts w:hint="eastAsia" w:ascii="宋体" w:hAnsi="宋体" w:eastAsia="宋体"/>
          <w:sz w:val="24"/>
          <w:szCs w:val="24"/>
        </w:rPr>
        <w:t>10</w:t>
      </w:r>
      <w:r>
        <w:rPr>
          <w:rFonts w:ascii="宋体" w:hAnsi="宋体" w:eastAsia="宋体"/>
          <w:sz w:val="24"/>
          <w:szCs w:val="24"/>
        </w:rPr>
        <w:t>T</w:t>
      </w:r>
      <w:r>
        <w:rPr>
          <w:rFonts w:hint="eastAsia" w:ascii="宋体" w:hAnsi="宋体" w:eastAsia="宋体"/>
          <w:sz w:val="24"/>
          <w:szCs w:val="24"/>
        </w:rPr>
        <w:t>，项目名称“</w:t>
      </w:r>
      <w:r>
        <w:rPr>
          <w:rFonts w:ascii="宋体" w:hAnsi="宋体" w:eastAsia="宋体"/>
          <w:sz w:val="24"/>
          <w:szCs w:val="24"/>
        </w:rPr>
        <w:t>煤矿井下工作面设备用润滑脂自动加注装置</w:t>
      </w:r>
      <w:r>
        <w:rPr>
          <w:rFonts w:hint="eastAsia" w:ascii="宋体" w:hAnsi="宋体" w:eastAsia="宋体"/>
          <w:sz w:val="24"/>
          <w:szCs w:val="24"/>
        </w:rPr>
        <w:t>”进行制定，计划应完成时间2026年10月。</w:t>
      </w:r>
    </w:p>
    <w:p w14:paraId="2799FD4A">
      <w:pPr>
        <w:pStyle w:val="23"/>
        <w:numPr>
          <w:ilvl w:val="0"/>
          <w:numId w:val="7"/>
        </w:numPr>
        <w:spacing w:line="360" w:lineRule="auto"/>
        <w:ind w:firstLineChars="0"/>
        <w:rPr>
          <w:rFonts w:hint="eastAsia" w:ascii="宋体" w:hAnsi="宋体"/>
          <w:b/>
          <w:bCs/>
          <w:sz w:val="24"/>
          <w:szCs w:val="24"/>
        </w:rPr>
      </w:pPr>
      <w:r>
        <w:rPr>
          <w:rFonts w:hint="eastAsia" w:ascii="宋体" w:hAnsi="宋体"/>
          <w:b/>
          <w:bCs/>
          <w:sz w:val="24"/>
          <w:szCs w:val="24"/>
        </w:rPr>
        <w:t>主要参加单位</w:t>
      </w:r>
    </w:p>
    <w:p w14:paraId="5996B78E">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本标准负责起草的单位是宁夏天地奔牛实业集团有限公司，参与单位有：宁夏天地奔牛链条有限公司、宁夏天地奔牛传动科技有限公司。</w:t>
      </w:r>
    </w:p>
    <w:p w14:paraId="336369D2">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起草工作组成员：焦瑞、冯景浦、王彩君</w:t>
      </w:r>
      <w:r>
        <w:rPr>
          <w:rFonts w:ascii="宋体" w:hAnsi="宋体" w:eastAsia="宋体"/>
          <w:sz w:val="24"/>
          <w:szCs w:val="24"/>
        </w:rPr>
        <w:t>……</w:t>
      </w:r>
      <w:r>
        <w:rPr>
          <w:rFonts w:hint="eastAsia" w:ascii="宋体" w:hAnsi="宋体" w:eastAsia="宋体"/>
          <w:sz w:val="24"/>
          <w:szCs w:val="24"/>
        </w:rPr>
        <w:t>。</w:t>
      </w:r>
    </w:p>
    <w:p w14:paraId="2C9D75FD">
      <w:pPr>
        <w:pStyle w:val="23"/>
        <w:numPr>
          <w:ilvl w:val="0"/>
          <w:numId w:val="7"/>
        </w:numPr>
        <w:spacing w:line="360" w:lineRule="auto"/>
        <w:ind w:firstLineChars="0"/>
        <w:rPr>
          <w:rFonts w:hint="eastAsia" w:ascii="宋体" w:hAnsi="宋体"/>
          <w:b/>
          <w:bCs/>
          <w:sz w:val="24"/>
          <w:szCs w:val="24"/>
        </w:rPr>
      </w:pPr>
      <w:r>
        <w:rPr>
          <w:rFonts w:hint="eastAsia" w:ascii="宋体" w:hAnsi="宋体"/>
          <w:b/>
          <w:bCs/>
          <w:sz w:val="24"/>
          <w:szCs w:val="24"/>
        </w:rPr>
        <w:t>工作过程</w:t>
      </w:r>
    </w:p>
    <w:p w14:paraId="2FC427C1">
      <w:pPr>
        <w:spacing w:line="360" w:lineRule="auto"/>
        <w:ind w:firstLine="482" w:firstLineChars="200"/>
        <w:rPr>
          <w:rFonts w:hint="eastAsia" w:ascii="宋体" w:hAnsi="宋体" w:eastAsia="宋体"/>
          <w:sz w:val="24"/>
          <w:szCs w:val="24"/>
        </w:rPr>
      </w:pPr>
      <w:r>
        <w:rPr>
          <w:rFonts w:hint="eastAsia" w:ascii="宋体" w:hAnsi="宋体" w:eastAsia="宋体"/>
          <w:b/>
          <w:bCs/>
          <w:sz w:val="24"/>
          <w:szCs w:val="24"/>
        </w:rPr>
        <w:t>调研阶段：</w:t>
      </w:r>
      <w:r>
        <w:rPr>
          <w:rFonts w:hint="eastAsia" w:ascii="宋体" w:hAnsi="宋体" w:eastAsia="宋体"/>
          <w:sz w:val="24"/>
          <w:szCs w:val="24"/>
        </w:rPr>
        <w:t>从标准立项以来，项目承担单位——宁夏天地奔牛实业集团有限公司组织专家和相关单位成立了标准编制组。通过调查研究、收集资料，并听取多方意见，最终形成了该标准草案。负责起草的单位是宁夏天地奔牛实业集团有限公司，参与单位有：宁夏天地奔牛传动科技有限公司、宁夏天地奔牛链条有限公司。</w:t>
      </w:r>
    </w:p>
    <w:p w14:paraId="1335DD79">
      <w:pPr>
        <w:spacing w:line="360" w:lineRule="auto"/>
        <w:ind w:firstLine="482" w:firstLineChars="200"/>
        <w:rPr>
          <w:rFonts w:hint="eastAsia" w:ascii="宋体" w:hAnsi="宋体" w:eastAsia="宋体"/>
          <w:sz w:val="24"/>
          <w:szCs w:val="24"/>
        </w:rPr>
      </w:pPr>
      <w:r>
        <w:rPr>
          <w:rFonts w:hint="eastAsia" w:ascii="宋体" w:hAnsi="宋体" w:eastAsia="宋体"/>
          <w:b/>
          <w:bCs/>
          <w:sz w:val="24"/>
          <w:szCs w:val="24"/>
        </w:rPr>
        <w:t>标准征求意见稿起草阶段：</w:t>
      </w:r>
      <w:r>
        <w:rPr>
          <w:rFonts w:hint="eastAsia" w:ascii="宋体" w:hAnsi="宋体" w:eastAsia="宋体"/>
          <w:sz w:val="24"/>
          <w:szCs w:val="24"/>
        </w:rPr>
        <w:t>项目组依据国标、行业的标准化及技术要求，并结合调研情况，提出《</w:t>
      </w:r>
      <w:r>
        <w:rPr>
          <w:rFonts w:ascii="宋体" w:hAnsi="宋体" w:eastAsia="宋体"/>
          <w:sz w:val="24"/>
          <w:szCs w:val="24"/>
        </w:rPr>
        <w:t>煤矿井下工作面设备用润滑脂自动加注装置</w:t>
      </w:r>
      <w:r>
        <w:rPr>
          <w:rFonts w:hint="eastAsia" w:ascii="宋体" w:hAnsi="宋体" w:eastAsia="宋体"/>
          <w:sz w:val="24"/>
          <w:szCs w:val="24"/>
        </w:rPr>
        <w:t>》标准草案，在进一步搜集相关资料的基础上，项目组组织技术人员对标准草案的内容进行分析和研讨，并不断交流。草稿经过多次研讨，进行多次修改，与项目参与单位共同研究确定了本标准的大纲，最终于2026年7月形成了“征求意见稿”。</w:t>
      </w:r>
    </w:p>
    <w:p w14:paraId="147E33F1">
      <w:pPr>
        <w:pStyle w:val="23"/>
        <w:numPr>
          <w:ilvl w:val="0"/>
          <w:numId w:val="6"/>
        </w:numPr>
        <w:spacing w:line="360" w:lineRule="auto"/>
        <w:ind w:firstLineChars="0"/>
        <w:rPr>
          <w:rFonts w:hint="eastAsia" w:ascii="黑体" w:hAnsi="黑体" w:eastAsia="黑体"/>
          <w:b/>
          <w:bCs/>
          <w:sz w:val="28"/>
          <w:szCs w:val="28"/>
        </w:rPr>
      </w:pPr>
      <w:bookmarkStart w:id="1" w:name="_GoBack"/>
      <w:bookmarkEnd w:id="1"/>
      <w:r>
        <w:rPr>
          <w:rFonts w:hint="eastAsia" w:ascii="黑体" w:hAnsi="黑体" w:eastAsia="黑体"/>
          <w:b/>
          <w:bCs/>
          <w:sz w:val="28"/>
          <w:szCs w:val="28"/>
        </w:rPr>
        <w:t>标准编制原则</w:t>
      </w:r>
    </w:p>
    <w:p w14:paraId="521D73C2">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本文件旨在规范、指导各生产企业对</w:t>
      </w:r>
      <w:r>
        <w:rPr>
          <w:rFonts w:ascii="宋体" w:hAnsi="宋体" w:eastAsia="宋体"/>
          <w:sz w:val="24"/>
          <w:szCs w:val="24"/>
        </w:rPr>
        <w:t>煤矿井下工作面设备用润滑脂自动加注装置</w:t>
      </w:r>
      <w:r>
        <w:rPr>
          <w:rFonts w:hint="eastAsia" w:ascii="宋体" w:hAnsi="宋体" w:eastAsia="宋体"/>
          <w:sz w:val="24"/>
          <w:szCs w:val="24"/>
        </w:rPr>
        <w:t>的设计、制造、检验等的规范统一。</w:t>
      </w:r>
    </w:p>
    <w:p w14:paraId="52508DF8">
      <w:pPr>
        <w:spacing w:line="360" w:lineRule="auto"/>
        <w:rPr>
          <w:rFonts w:hint="eastAsia" w:ascii="黑体" w:hAnsi="黑体" w:eastAsia="黑体"/>
          <w:sz w:val="24"/>
          <w:szCs w:val="24"/>
        </w:rPr>
      </w:pPr>
      <w:r>
        <w:rPr>
          <w:rFonts w:hint="eastAsia" w:ascii="黑体" w:hAnsi="黑体" w:eastAsia="黑体"/>
          <w:sz w:val="24"/>
          <w:szCs w:val="24"/>
        </w:rPr>
        <w:t>（一）本标准编制原则</w:t>
      </w:r>
    </w:p>
    <w:p w14:paraId="0A141BA6">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（1）本标准在制定过程中本着科学性、合理性和可操作性及以下原则进行制订工作。</w:t>
      </w:r>
    </w:p>
    <w:p w14:paraId="407575F6">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（2）按GB/T 1.1-2020</w:t>
      </w:r>
      <w:r>
        <w:rPr>
          <w:rFonts w:hint="eastAsia" w:ascii="宋体" w:hAnsi="宋体"/>
          <w:sz w:val="24"/>
        </w:rPr>
        <w:t>《标准化工作导则 第1部分：标准化文件的结构和起草规则》</w:t>
      </w:r>
      <w:r>
        <w:rPr>
          <w:rFonts w:hint="eastAsia" w:ascii="宋体" w:hAnsi="宋体" w:eastAsia="宋体"/>
          <w:sz w:val="24"/>
          <w:szCs w:val="24"/>
        </w:rPr>
        <w:t>的规定进行编写。</w:t>
      </w:r>
    </w:p>
    <w:p w14:paraId="753B4338">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（3）符合国家现行相关法律、法规、规章，与其保持一致。</w:t>
      </w:r>
    </w:p>
    <w:p w14:paraId="7ECE7BD1">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（4）能够指导</w:t>
      </w:r>
      <w:r>
        <w:rPr>
          <w:rFonts w:ascii="宋体" w:hAnsi="宋体" w:eastAsia="宋体"/>
          <w:sz w:val="24"/>
          <w:szCs w:val="24"/>
        </w:rPr>
        <w:t>煤矿井下工作面设备用润滑脂自动加注装置</w:t>
      </w:r>
      <w:r>
        <w:rPr>
          <w:rFonts w:hint="eastAsia" w:ascii="宋体" w:hAnsi="宋体" w:eastAsia="宋体"/>
          <w:sz w:val="24"/>
          <w:szCs w:val="24"/>
        </w:rPr>
        <w:t>的设计、制造、检验等。</w:t>
      </w:r>
    </w:p>
    <w:p w14:paraId="64CC9D7D">
      <w:pPr>
        <w:spacing w:line="360" w:lineRule="auto"/>
        <w:rPr>
          <w:rFonts w:hint="eastAsia" w:ascii="黑体" w:hAnsi="黑体" w:eastAsia="黑体"/>
          <w:b/>
          <w:bCs/>
          <w:sz w:val="28"/>
          <w:szCs w:val="28"/>
        </w:rPr>
      </w:pPr>
      <w:r>
        <w:rPr>
          <w:rFonts w:hint="eastAsia" w:ascii="黑体" w:hAnsi="黑体" w:eastAsia="黑体"/>
          <w:sz w:val="24"/>
          <w:szCs w:val="24"/>
        </w:rPr>
        <w:t>（二）本标准主要框架的参照标准</w:t>
      </w:r>
    </w:p>
    <w:p w14:paraId="18C2AA64">
      <w:pPr>
        <w:pStyle w:val="10"/>
        <w:spacing w:line="360" w:lineRule="auto"/>
        <w:ind w:firstLine="480"/>
        <w:rPr>
          <w:rFonts w:hint="eastAsia" w:hAnsi="宋体" w:cstheme="minorBidi"/>
          <w:kern w:val="2"/>
          <w:sz w:val="24"/>
          <w:szCs w:val="24"/>
        </w:rPr>
      </w:pPr>
      <w:r>
        <w:rPr>
          <w:rFonts w:hint="eastAsia" w:hAnsi="宋体" w:cstheme="minorBidi"/>
          <w:kern w:val="2"/>
          <w:sz w:val="24"/>
          <w:szCs w:val="24"/>
        </w:rPr>
        <w:t>本标准是产品标准，其产品“</w:t>
      </w:r>
      <w:r>
        <w:rPr>
          <w:rFonts w:hAnsi="宋体" w:cstheme="minorBidi"/>
          <w:kern w:val="2"/>
          <w:sz w:val="24"/>
          <w:szCs w:val="24"/>
        </w:rPr>
        <w:t>煤矿井下工作面设备用润滑脂自动加注装置</w:t>
      </w:r>
      <w:r>
        <w:rPr>
          <w:rFonts w:hint="eastAsia" w:hAnsi="宋体" w:cstheme="minorBidi"/>
          <w:kern w:val="2"/>
          <w:sz w:val="24"/>
          <w:szCs w:val="24"/>
        </w:rPr>
        <w:t>”可以根据实际工况需求，通过程序设定实现定时、定点、定量为</w:t>
      </w:r>
      <w:r>
        <w:rPr>
          <w:rFonts w:hAnsi="宋体" w:cstheme="minorBidi"/>
          <w:kern w:val="2"/>
          <w:sz w:val="24"/>
          <w:szCs w:val="24"/>
        </w:rPr>
        <w:t>煤矿井下工作面设备</w:t>
      </w:r>
      <w:r>
        <w:rPr>
          <w:rFonts w:hint="eastAsia" w:hAnsi="宋体" w:cstheme="minorBidi"/>
          <w:kern w:val="2"/>
          <w:sz w:val="24"/>
          <w:szCs w:val="24"/>
        </w:rPr>
        <w:t>自动加注润滑脂，充分保证润滑效果的同时，节约人力、物力，为煤矿井下工作面智能化建设提供基础支撑条件。本标准的主要框架参照《GB/T 3836.1-2021（爆炸性环境  第1部分：设备  通用要求）》、《GB/T 3836.2-2021（爆炸性环境  第2部分：由隔爆外壳“d”保护的设备）》、《GBT 3836.3-2021（爆炸性环境  第3部分：由增安型“e”保护的设备）》、《GBT 3836.4-2021（爆炸性环境  第4部分：由本质安全型“i”保护的设备）》、《JB/T 12803-2016 矿山机械 油脂集中润滑系统》等技术规范的对应内容。标准编制时充分查阅考虑了相关法律法规要求，与现行法律法规的内容协调统一。</w:t>
      </w:r>
    </w:p>
    <w:p w14:paraId="7F0F79F8">
      <w:pPr>
        <w:spacing w:line="360" w:lineRule="auto"/>
        <w:rPr>
          <w:rFonts w:hint="eastAsia" w:ascii="黑体" w:hAnsi="黑体" w:eastAsia="黑体"/>
          <w:sz w:val="24"/>
          <w:szCs w:val="24"/>
        </w:rPr>
      </w:pPr>
      <w:r>
        <w:rPr>
          <w:rFonts w:hint="eastAsia" w:ascii="黑体" w:hAnsi="黑体" w:eastAsia="黑体"/>
          <w:sz w:val="24"/>
          <w:szCs w:val="24"/>
        </w:rPr>
        <w:t>（三）标准主要内容及其依据</w:t>
      </w:r>
    </w:p>
    <w:p w14:paraId="0FC70F6A">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作为行业标准，本标准规定了</w:t>
      </w:r>
      <w:r>
        <w:rPr>
          <w:rFonts w:ascii="宋体" w:hAnsi="宋体" w:eastAsia="宋体"/>
          <w:sz w:val="24"/>
          <w:szCs w:val="24"/>
        </w:rPr>
        <w:t>煤矿井下工作面设备用润滑脂自动加注装置</w:t>
      </w:r>
      <w:r>
        <w:rPr>
          <w:rFonts w:hint="eastAsia" w:ascii="宋体" w:hAnsi="宋体" w:eastAsia="宋体"/>
          <w:sz w:val="24"/>
          <w:szCs w:val="24"/>
        </w:rPr>
        <w:t>的型式、技术要求、试验方法、检验规则、标志、包装、运输和贮存。适用于</w:t>
      </w:r>
      <w:r>
        <w:rPr>
          <w:rFonts w:ascii="宋体" w:hAnsi="宋体" w:eastAsia="宋体"/>
          <w:sz w:val="24"/>
          <w:szCs w:val="24"/>
        </w:rPr>
        <w:t>煤矿井下工作面设备用润滑脂自动加注装置</w:t>
      </w:r>
      <w:r>
        <w:rPr>
          <w:rFonts w:hint="eastAsia" w:ascii="宋体" w:hAnsi="宋体" w:eastAsia="宋体"/>
          <w:sz w:val="24"/>
          <w:szCs w:val="24"/>
        </w:rPr>
        <w:t>的设计、制造与检验等。</w:t>
      </w:r>
    </w:p>
    <w:p w14:paraId="5382ECDC">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（1）规定了产品的形式，主要包括产品构成的零部件的生产制造、组装连接、安全等基础条件。</w:t>
      </w:r>
    </w:p>
    <w:p w14:paraId="14EA22C0">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（2）规定了主要技术要求，根据产品的实际使用需求和使用习惯，结合JB/T 12803的相关要求，对基本功能、控制功能进行了规定。</w:t>
      </w:r>
    </w:p>
    <w:p w14:paraId="5E57ACFE">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（3）依据GB/T 3836-2021系列标准等标准的要求，对产品防爆性能、试验方法、试验操作程序等内容进行了规定。</w:t>
      </w:r>
    </w:p>
    <w:p w14:paraId="5B84CC8C">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（4）根据GB/T 3836-2021系列标准等标准的相关规定，制定了</w:t>
      </w:r>
      <w:r>
        <w:rPr>
          <w:rFonts w:ascii="宋体" w:hAnsi="宋体" w:eastAsia="宋体"/>
          <w:sz w:val="24"/>
          <w:szCs w:val="24"/>
        </w:rPr>
        <w:t>煤矿井下工作面设备用润滑脂自动加注装置</w:t>
      </w:r>
      <w:r>
        <w:rPr>
          <w:rFonts w:hint="eastAsia" w:ascii="宋体" w:hAnsi="宋体" w:eastAsia="宋体"/>
          <w:sz w:val="24"/>
          <w:szCs w:val="24"/>
        </w:rPr>
        <w:t>的出厂检验和型式检验规则及判定规则。检验项目、检验方法和要求根据第五章《技术要求》和第六章《试验方法》对应制定。</w:t>
      </w:r>
    </w:p>
    <w:p w14:paraId="6869BE14">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（5）根据GB/T 191-2008、</w:t>
      </w:r>
      <w:r>
        <w:rPr>
          <w:rFonts w:ascii="宋体" w:hAnsi="宋体" w:eastAsia="宋体"/>
          <w:sz w:val="24"/>
          <w:szCs w:val="24"/>
        </w:rPr>
        <w:t>GB/T 3836-2021</w:t>
      </w:r>
      <w:r>
        <w:rPr>
          <w:rFonts w:hint="eastAsia" w:ascii="宋体" w:hAnsi="宋体" w:eastAsia="宋体"/>
          <w:sz w:val="24"/>
          <w:szCs w:val="24"/>
        </w:rPr>
        <w:t>的要求，规定了</w:t>
      </w:r>
      <w:r>
        <w:rPr>
          <w:rFonts w:ascii="宋体" w:hAnsi="宋体" w:eastAsia="宋体"/>
          <w:sz w:val="24"/>
          <w:szCs w:val="24"/>
        </w:rPr>
        <w:t>煤矿井下工作面设备用润滑脂自动加注装置</w:t>
      </w:r>
      <w:r>
        <w:rPr>
          <w:rFonts w:hint="eastAsia" w:ascii="宋体" w:hAnsi="宋体" w:eastAsia="宋体"/>
          <w:sz w:val="24"/>
          <w:szCs w:val="24"/>
        </w:rPr>
        <w:t>的产品标志、包装需要符合的标准、产品随机文件的内容以及运输、贮存应遵守的规定。</w:t>
      </w:r>
    </w:p>
    <w:p w14:paraId="43D10703">
      <w:pPr>
        <w:numPr>
          <w:ilvl w:val="0"/>
          <w:numId w:val="8"/>
        </w:numPr>
        <w:spacing w:line="360" w:lineRule="auto"/>
        <w:rPr>
          <w:rFonts w:hint="eastAsia" w:ascii="黑体" w:hAnsi="黑体" w:eastAsia="黑体"/>
          <w:b/>
          <w:bCs/>
          <w:sz w:val="28"/>
          <w:szCs w:val="28"/>
        </w:rPr>
      </w:pPr>
      <w:r>
        <w:rPr>
          <w:rFonts w:hint="eastAsia" w:ascii="黑体" w:hAnsi="黑体" w:eastAsia="黑体"/>
          <w:b/>
          <w:bCs/>
          <w:sz w:val="28"/>
          <w:szCs w:val="28"/>
        </w:rPr>
        <w:t>试验验证</w:t>
      </w:r>
    </w:p>
    <w:p w14:paraId="4506DB73">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宁夏天地奔牛实业集团有限公司自2018年取得矿用隔爆兼本安型控制器的安标认证以来，成功将其应用于</w:t>
      </w:r>
      <w:r>
        <w:rPr>
          <w:rFonts w:ascii="宋体" w:hAnsi="宋体" w:eastAsia="宋体"/>
          <w:sz w:val="24"/>
          <w:szCs w:val="24"/>
        </w:rPr>
        <w:t>煤矿井下工作面设备用润滑脂自动加注装置</w:t>
      </w:r>
      <w:r>
        <w:rPr>
          <w:rFonts w:hint="eastAsia" w:ascii="宋体" w:hAnsi="宋体" w:eastAsia="宋体"/>
          <w:sz w:val="24"/>
          <w:szCs w:val="24"/>
        </w:rPr>
        <w:t>。该装置</w:t>
      </w:r>
      <w:r>
        <w:rPr>
          <w:rFonts w:hint="eastAsia" w:hAnsi="宋体"/>
          <w:sz w:val="24"/>
          <w:szCs w:val="24"/>
        </w:rPr>
        <w:t>通过程序设定，实现定时、定点、定量为</w:t>
      </w:r>
      <w:r>
        <w:rPr>
          <w:rFonts w:ascii="宋体" w:hAnsi="宋体" w:eastAsia="宋体"/>
          <w:sz w:val="24"/>
          <w:szCs w:val="24"/>
        </w:rPr>
        <w:t>煤矿井下工作面设备</w:t>
      </w:r>
      <w:r>
        <w:rPr>
          <w:rFonts w:hint="eastAsia" w:hAnsi="宋体"/>
          <w:sz w:val="24"/>
          <w:szCs w:val="24"/>
        </w:rPr>
        <w:t>自动加注润滑脂，充分保证润滑效果的同时，也了节约人力、物力，并实现了润滑数据的有效管理，为煤矿井下工作面智能化建设提供基础支撑条件。</w:t>
      </w:r>
    </w:p>
    <w:p w14:paraId="331DB10E">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产品的企业标准，在研发、制造过程、出厂前产品性能试验和用户验收过程中，已进行了多次验证试验。本标准在企标的基础上，结合用户需求及产品发展方向，进行团标转化，由此也证明了本标准提出的科学性及可行性。</w:t>
      </w:r>
    </w:p>
    <w:p w14:paraId="151E3D9B">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上述的试验验证均表明，本标准规定的试验方法和提出的技术要求是可行的。</w:t>
      </w:r>
    </w:p>
    <w:p w14:paraId="442E1CC7">
      <w:pPr>
        <w:numPr>
          <w:ilvl w:val="0"/>
          <w:numId w:val="8"/>
        </w:numPr>
        <w:spacing w:line="360" w:lineRule="auto"/>
        <w:rPr>
          <w:rFonts w:hint="eastAsia" w:ascii="黑体" w:hAnsi="黑体" w:eastAsia="黑体"/>
          <w:b/>
          <w:bCs/>
          <w:sz w:val="28"/>
          <w:szCs w:val="28"/>
        </w:rPr>
      </w:pPr>
      <w:r>
        <w:rPr>
          <w:rFonts w:hint="eastAsia" w:ascii="黑体" w:hAnsi="黑体" w:eastAsia="黑体"/>
          <w:b/>
          <w:bCs/>
          <w:sz w:val="28"/>
          <w:szCs w:val="28"/>
        </w:rPr>
        <w:t>知识产权说明</w:t>
      </w:r>
    </w:p>
    <w:p w14:paraId="3812E459">
      <w:pPr>
        <w:pStyle w:val="23"/>
        <w:numPr>
          <w:ilvl w:val="0"/>
          <w:numId w:val="9"/>
        </w:numPr>
        <w:spacing w:line="360" w:lineRule="auto"/>
        <w:ind w:firstLineChars="0"/>
        <w:rPr>
          <w:rFonts w:hint="eastAsia" w:ascii="宋体" w:hAnsi="宋体"/>
          <w:b/>
          <w:bCs/>
          <w:sz w:val="24"/>
          <w:szCs w:val="24"/>
        </w:rPr>
      </w:pPr>
      <w:r>
        <w:rPr>
          <w:rFonts w:hint="eastAsia" w:ascii="宋体" w:hAnsi="宋体"/>
          <w:b/>
          <w:bCs/>
          <w:sz w:val="24"/>
          <w:szCs w:val="24"/>
        </w:rPr>
        <w:t>标准涉及的相关知识产权说明</w:t>
      </w:r>
    </w:p>
    <w:p w14:paraId="47CEECF1">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不涉及。</w:t>
      </w:r>
    </w:p>
    <w:p w14:paraId="6864C5BF">
      <w:pPr>
        <w:pStyle w:val="23"/>
        <w:numPr>
          <w:ilvl w:val="0"/>
          <w:numId w:val="9"/>
        </w:numPr>
        <w:spacing w:line="360" w:lineRule="auto"/>
        <w:ind w:firstLineChars="0"/>
        <w:rPr>
          <w:rFonts w:hint="eastAsia" w:ascii="宋体" w:hAnsi="宋体"/>
          <w:b/>
          <w:bCs/>
          <w:sz w:val="24"/>
          <w:szCs w:val="24"/>
        </w:rPr>
      </w:pPr>
      <w:r>
        <w:rPr>
          <w:rFonts w:hint="eastAsia" w:ascii="宋体" w:hAnsi="宋体"/>
          <w:b/>
          <w:bCs/>
          <w:sz w:val="24"/>
          <w:szCs w:val="24"/>
        </w:rPr>
        <w:t>签署自愿放弃专利承诺书</w:t>
      </w:r>
    </w:p>
    <w:p w14:paraId="7D031550">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自愿放弃。</w:t>
      </w:r>
    </w:p>
    <w:p w14:paraId="7A559199">
      <w:pPr>
        <w:numPr>
          <w:ilvl w:val="0"/>
          <w:numId w:val="8"/>
        </w:numPr>
        <w:spacing w:line="360" w:lineRule="auto"/>
        <w:rPr>
          <w:rFonts w:hint="eastAsia" w:ascii="黑体" w:hAnsi="黑体" w:eastAsia="黑体"/>
          <w:b/>
          <w:bCs/>
          <w:sz w:val="28"/>
          <w:szCs w:val="28"/>
        </w:rPr>
      </w:pPr>
      <w:r>
        <w:rPr>
          <w:rFonts w:hint="eastAsia" w:ascii="黑体" w:hAnsi="黑体" w:eastAsia="黑体"/>
          <w:b/>
          <w:bCs/>
          <w:sz w:val="28"/>
          <w:szCs w:val="28"/>
        </w:rPr>
        <w:t>采标情况</w:t>
      </w:r>
    </w:p>
    <w:p w14:paraId="22C32C0A">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本标准未采用国际标准内容。</w:t>
      </w:r>
    </w:p>
    <w:p w14:paraId="347D3AA6">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本标准制订过程中未查到同类国际、国外标准。</w:t>
      </w:r>
    </w:p>
    <w:p w14:paraId="433FC2ED">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本标准制订过程中未测试国外的样品、样机。</w:t>
      </w:r>
    </w:p>
    <w:p w14:paraId="0025E906">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本标准水平为国内先进水平。</w:t>
      </w:r>
    </w:p>
    <w:p w14:paraId="1A1D3DCA">
      <w:pPr>
        <w:numPr>
          <w:ilvl w:val="0"/>
          <w:numId w:val="8"/>
        </w:numPr>
        <w:spacing w:line="360" w:lineRule="auto"/>
        <w:rPr>
          <w:rFonts w:hint="eastAsia" w:ascii="黑体" w:hAnsi="黑体" w:eastAsia="黑体"/>
          <w:b/>
          <w:bCs/>
          <w:sz w:val="28"/>
          <w:szCs w:val="28"/>
        </w:rPr>
      </w:pPr>
      <w:r>
        <w:rPr>
          <w:rFonts w:hint="eastAsia" w:ascii="黑体" w:hAnsi="黑体" w:eastAsia="黑体"/>
          <w:b/>
          <w:bCs/>
          <w:sz w:val="28"/>
          <w:szCs w:val="28"/>
        </w:rPr>
        <w:t>重大分歧意见的处理经过和依据</w:t>
      </w:r>
    </w:p>
    <w:p w14:paraId="6ED81FD5">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无。</w:t>
      </w:r>
    </w:p>
    <w:p w14:paraId="744A2A15">
      <w:pPr>
        <w:numPr>
          <w:ilvl w:val="0"/>
          <w:numId w:val="8"/>
        </w:numPr>
        <w:spacing w:line="360" w:lineRule="auto"/>
        <w:rPr>
          <w:rFonts w:hint="eastAsia" w:ascii="黑体" w:hAnsi="黑体" w:eastAsia="黑体"/>
          <w:b/>
          <w:bCs/>
          <w:sz w:val="28"/>
          <w:szCs w:val="28"/>
        </w:rPr>
      </w:pPr>
      <w:r>
        <w:rPr>
          <w:rFonts w:hint="eastAsia" w:ascii="宋体" w:hAnsi="宋体" w:eastAsia="宋体"/>
          <w:b/>
          <w:bCs/>
          <w:sz w:val="24"/>
          <w:szCs w:val="24"/>
        </w:rPr>
        <w:t>其他其它予以说明的事项</w:t>
      </w:r>
    </w:p>
    <w:p w14:paraId="5C3D63A2">
      <w:pPr>
        <w:pStyle w:val="23"/>
        <w:numPr>
          <w:ilvl w:val="0"/>
          <w:numId w:val="10"/>
        </w:numPr>
        <w:spacing w:line="360" w:lineRule="auto"/>
        <w:ind w:firstLineChars="0"/>
        <w:rPr>
          <w:rFonts w:hint="eastAsia" w:ascii="宋体" w:hAnsi="宋体"/>
          <w:b/>
          <w:bCs/>
          <w:sz w:val="24"/>
          <w:szCs w:val="24"/>
        </w:rPr>
      </w:pPr>
      <w:r>
        <w:rPr>
          <w:rFonts w:hint="eastAsia" w:ascii="宋体" w:hAnsi="宋体"/>
          <w:b/>
          <w:bCs/>
          <w:sz w:val="24"/>
          <w:szCs w:val="24"/>
        </w:rPr>
        <w:t>与现行相关法律、法规、规章及相关标准的协调性</w:t>
      </w:r>
    </w:p>
    <w:p w14:paraId="5A829C51">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标准编制时充分查阅考虑了《安全生产法》、《煤矿安全规程》等法律、法规相关要求，与现行法律法规的内容协调统一，未发现本标准内容与现行相关法律、法规、规章及相关标准有冲突或抵触的地方。</w:t>
      </w:r>
    </w:p>
    <w:p w14:paraId="193A0A1C">
      <w:pPr>
        <w:pStyle w:val="23"/>
        <w:numPr>
          <w:ilvl w:val="0"/>
          <w:numId w:val="10"/>
        </w:numPr>
        <w:spacing w:line="360" w:lineRule="auto"/>
        <w:ind w:firstLineChars="0"/>
        <w:rPr>
          <w:rFonts w:hint="eastAsia" w:ascii="宋体" w:hAnsi="宋体"/>
          <w:b/>
          <w:bCs/>
          <w:sz w:val="24"/>
          <w:szCs w:val="24"/>
        </w:rPr>
      </w:pPr>
      <w:r>
        <w:rPr>
          <w:rFonts w:hint="eastAsia" w:ascii="宋体" w:hAnsi="宋体"/>
          <w:b/>
          <w:bCs/>
          <w:sz w:val="24"/>
          <w:szCs w:val="24"/>
        </w:rPr>
        <w:t>标准性质的建议说明</w:t>
      </w:r>
    </w:p>
    <w:p w14:paraId="62A2894B">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建议本标准作为宁夏机械工程学会团体标准发布实施，由本团体成员约定采用或按照本团体的规定供社会自愿采用。</w:t>
      </w:r>
    </w:p>
    <w:p w14:paraId="1079FA22">
      <w:pPr>
        <w:pStyle w:val="23"/>
        <w:numPr>
          <w:ilvl w:val="0"/>
          <w:numId w:val="10"/>
        </w:numPr>
        <w:spacing w:line="360" w:lineRule="auto"/>
        <w:ind w:firstLineChars="0"/>
        <w:rPr>
          <w:rFonts w:hint="eastAsia" w:ascii="宋体" w:hAnsi="宋体"/>
          <w:b/>
          <w:bCs/>
          <w:sz w:val="24"/>
          <w:szCs w:val="24"/>
        </w:rPr>
      </w:pPr>
      <w:r>
        <w:rPr>
          <w:rFonts w:hint="eastAsia" w:ascii="宋体" w:hAnsi="宋体"/>
          <w:b/>
          <w:bCs/>
          <w:sz w:val="24"/>
          <w:szCs w:val="24"/>
        </w:rPr>
        <w:t>预期达到的社会效益，对产业发展的作用等情况</w:t>
      </w:r>
    </w:p>
    <w:p w14:paraId="327DB5CE">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适应政策发展需求。团体标准的制定为</w:t>
      </w:r>
      <w:r>
        <w:rPr>
          <w:rFonts w:ascii="宋体" w:hAnsi="宋体" w:eastAsia="宋体"/>
          <w:sz w:val="24"/>
          <w:szCs w:val="24"/>
        </w:rPr>
        <w:t>煤矿井下工作面设备用润滑脂自动加注装置</w:t>
      </w:r>
      <w:r>
        <w:rPr>
          <w:rFonts w:hint="eastAsia" w:ascii="宋体" w:hAnsi="宋体" w:eastAsia="宋体"/>
          <w:sz w:val="24"/>
          <w:szCs w:val="24"/>
        </w:rPr>
        <w:t>助力煤矿智能化建设提供支撑。</w:t>
      </w:r>
    </w:p>
    <w:p w14:paraId="1BB4764E">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推动技术创新。标准的设定会激励企业不断进行技术研发和改进，以满足更高的标准要求，从而推动整个产业的技术进步。</w:t>
      </w:r>
    </w:p>
    <w:p w14:paraId="38B7956C">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提生产品质量和可靠性。标准的设定为</w:t>
      </w:r>
      <w:r>
        <w:rPr>
          <w:rFonts w:ascii="宋体" w:hAnsi="宋体" w:eastAsia="宋体"/>
          <w:sz w:val="24"/>
          <w:szCs w:val="24"/>
        </w:rPr>
        <w:t>煤矿井下工作面设备用润滑脂自动加注装置</w:t>
      </w:r>
      <w:r>
        <w:rPr>
          <w:rFonts w:hint="eastAsia" w:ascii="宋体" w:hAnsi="宋体" w:eastAsia="宋体"/>
          <w:sz w:val="24"/>
          <w:szCs w:val="24"/>
        </w:rPr>
        <w:t>提供设计、生产、检验的标准，有助于提高产品整体的质量和可靠性。</w:t>
      </w:r>
    </w:p>
    <w:p w14:paraId="30EFAADB">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为产业升级提供支撑。引导企业向更高水平发展，推动煤矿井下工作面刮板试试设备产业向智能化、高端化转型升级。</w:t>
      </w:r>
    </w:p>
    <w:p w14:paraId="735D5CD6">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同时，统一的技术标准有助于推动相关产品的标准化、系列化发展，促进煤矿装备智能化升级，提升煤矿安全生产水平和经济效益，对煤炭行业高质量发展具有积极意义。</w:t>
      </w:r>
    </w:p>
    <w:p w14:paraId="0FD4BF7E">
      <w:pPr>
        <w:spacing w:line="360" w:lineRule="auto"/>
        <w:ind w:firstLine="480" w:firstLineChars="200"/>
        <w:rPr>
          <w:rFonts w:hint="eastAsia" w:ascii="宋体" w:hAnsi="宋体" w:eastAsia="宋体"/>
          <w:sz w:val="24"/>
          <w:szCs w:val="24"/>
        </w:rPr>
      </w:pPr>
    </w:p>
    <w:p w14:paraId="24111410">
      <w:pPr>
        <w:spacing w:line="360" w:lineRule="auto"/>
        <w:ind w:firstLine="480" w:firstLineChars="200"/>
        <w:rPr>
          <w:rFonts w:hint="eastAsia" w:ascii="宋体" w:hAnsi="宋体" w:eastAsia="宋体"/>
          <w:sz w:val="24"/>
          <w:szCs w:val="24"/>
        </w:rPr>
      </w:pPr>
    </w:p>
    <w:p w14:paraId="0B957696">
      <w:pPr>
        <w:spacing w:line="360" w:lineRule="auto"/>
        <w:ind w:firstLine="472" w:firstLineChars="200"/>
        <w:rPr>
          <w:rFonts w:hint="eastAsia" w:ascii="宋体" w:hAnsi="宋体" w:eastAsia="宋体" w:cs="宋体"/>
          <w:spacing w:val="-2"/>
          <w:position w:val="13"/>
          <w:sz w:val="24"/>
          <w:szCs w:val="24"/>
        </w:rPr>
      </w:pPr>
    </w:p>
    <w:p w14:paraId="757A6454">
      <w:pPr>
        <w:tabs>
          <w:tab w:val="left" w:pos="4830"/>
        </w:tabs>
        <w:spacing w:line="360" w:lineRule="auto"/>
        <w:ind w:firstLine="6240" w:firstLineChars="2600"/>
        <w:rPr>
          <w:rFonts w:hint="eastAsia" w:ascii="宋体" w:hAnsi="宋体"/>
          <w:sz w:val="24"/>
        </w:rPr>
      </w:pPr>
      <w:r>
        <w:rPr>
          <w:rFonts w:hint="eastAsia" w:ascii="宋体" w:hAnsi="宋体"/>
          <w:sz w:val="24"/>
        </w:rPr>
        <w:t>标准起草工作组</w:t>
      </w:r>
    </w:p>
    <w:p w14:paraId="1D888C1F">
      <w:pPr>
        <w:tabs>
          <w:tab w:val="left" w:pos="4830"/>
        </w:tabs>
        <w:spacing w:line="360" w:lineRule="auto"/>
        <w:ind w:firstLine="6240" w:firstLineChars="2600"/>
      </w:pPr>
      <w:r>
        <w:rPr>
          <w:rFonts w:hint="eastAsia" w:ascii="宋体" w:hAnsi="宋体"/>
          <w:sz w:val="24"/>
        </w:rPr>
        <w:t>2026年7月14日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800099"/>
    <w:multiLevelType w:val="singleLevel"/>
    <w:tmpl w:val="DE800099"/>
    <w:lvl w:ilvl="0" w:tentative="0">
      <w:start w:val="3"/>
      <w:numFmt w:val="chineseCounting"/>
      <w:suff w:val="nothing"/>
      <w:lvlText w:val="%1．"/>
      <w:lvlJc w:val="left"/>
      <w:rPr>
        <w:rFonts w:hint="eastAsia"/>
      </w:rPr>
    </w:lvl>
  </w:abstractNum>
  <w:abstractNum w:abstractNumId="1">
    <w:nsid w:val="00000001"/>
    <w:multiLevelType w:val="multilevel"/>
    <w:tmpl w:val="00000001"/>
    <w:lvl w:ilvl="0" w:tentative="0">
      <w:start w:val="1"/>
      <w:numFmt w:val="decimal"/>
      <w:lvlText w:val="%1."/>
      <w:lvlJc w:val="left"/>
      <w:pPr>
        <w:tabs>
          <w:tab w:val="left" w:pos="435"/>
        </w:tabs>
        <w:ind w:left="435" w:hanging="435"/>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pStyle w:val="11"/>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1107534"/>
    <w:multiLevelType w:val="multilevel"/>
    <w:tmpl w:val="01107534"/>
    <w:lvl w:ilvl="0" w:tentative="0">
      <w:start w:val="1"/>
      <w:numFmt w:val="decimal"/>
      <w:lvlText w:val="%1."/>
      <w:lvlJc w:val="left"/>
      <w:pPr>
        <w:ind w:left="905" w:hanging="425"/>
      </w:pPr>
    </w:lvl>
    <w:lvl w:ilvl="1" w:tentative="0">
      <w:start w:val="1"/>
      <w:numFmt w:val="decimal"/>
      <w:lvlText w:val="%1.%2."/>
      <w:lvlJc w:val="left"/>
      <w:pPr>
        <w:ind w:left="1047" w:hanging="567"/>
      </w:pPr>
    </w:lvl>
    <w:lvl w:ilvl="2" w:tentative="0">
      <w:start w:val="1"/>
      <w:numFmt w:val="decimal"/>
      <w:lvlText w:val="%1.%2.%3."/>
      <w:lvlJc w:val="left"/>
      <w:pPr>
        <w:ind w:left="1189" w:hanging="709"/>
      </w:pPr>
    </w:lvl>
    <w:lvl w:ilvl="3" w:tentative="0">
      <w:start w:val="1"/>
      <w:numFmt w:val="decimal"/>
      <w:lvlText w:val="%1.%2.%3.%4."/>
      <w:lvlJc w:val="left"/>
      <w:pPr>
        <w:ind w:left="1331" w:hanging="851"/>
      </w:pPr>
    </w:lvl>
    <w:lvl w:ilvl="4" w:tentative="0">
      <w:start w:val="1"/>
      <w:numFmt w:val="decimal"/>
      <w:lvlText w:val="%1.%2.%3.%4.%5."/>
      <w:lvlJc w:val="left"/>
      <w:pPr>
        <w:ind w:left="1472" w:hanging="992"/>
      </w:pPr>
    </w:lvl>
    <w:lvl w:ilvl="5" w:tentative="0">
      <w:start w:val="1"/>
      <w:numFmt w:val="decimal"/>
      <w:lvlText w:val="%1.%2.%3.%4.%5.%6."/>
      <w:lvlJc w:val="left"/>
      <w:pPr>
        <w:ind w:left="1614" w:hanging="1134"/>
      </w:pPr>
    </w:lvl>
    <w:lvl w:ilvl="6" w:tentative="0">
      <w:start w:val="1"/>
      <w:numFmt w:val="decimal"/>
      <w:lvlText w:val="%1.%2.%3.%4.%5.%6.%7."/>
      <w:lvlJc w:val="left"/>
      <w:pPr>
        <w:ind w:left="1756" w:hanging="1276"/>
      </w:pPr>
    </w:lvl>
    <w:lvl w:ilvl="7" w:tentative="0">
      <w:start w:val="1"/>
      <w:numFmt w:val="decimal"/>
      <w:lvlText w:val="%1.%2.%3.%4.%5.%6.%7.%8."/>
      <w:lvlJc w:val="left"/>
      <w:pPr>
        <w:ind w:left="1898" w:hanging="1418"/>
      </w:pPr>
    </w:lvl>
    <w:lvl w:ilvl="8" w:tentative="0">
      <w:start w:val="1"/>
      <w:numFmt w:val="decimal"/>
      <w:lvlText w:val="%1.%2.%3.%4.%5.%6.%7.%8.%9."/>
      <w:lvlJc w:val="left"/>
      <w:pPr>
        <w:ind w:left="2039" w:hanging="1559"/>
      </w:pPr>
    </w:lvl>
  </w:abstractNum>
  <w:abstractNum w:abstractNumId="3">
    <w:nsid w:val="0B8C2E11"/>
    <w:multiLevelType w:val="multilevel"/>
    <w:tmpl w:val="0B8C2E11"/>
    <w:lvl w:ilvl="0" w:tentative="0">
      <w:start w:val="1"/>
      <w:numFmt w:val="chineseCountingThousand"/>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3E766A6B"/>
    <w:multiLevelType w:val="multilevel"/>
    <w:tmpl w:val="3E766A6B"/>
    <w:lvl w:ilvl="0" w:tentative="0">
      <w:start w:val="1"/>
      <w:numFmt w:val="decimal"/>
      <w:lvlText w:val="%1."/>
      <w:lvlJc w:val="left"/>
      <w:pPr>
        <w:ind w:left="905" w:hanging="425"/>
      </w:pPr>
    </w:lvl>
    <w:lvl w:ilvl="1" w:tentative="0">
      <w:start w:val="1"/>
      <w:numFmt w:val="decimal"/>
      <w:lvlText w:val="%1.%2."/>
      <w:lvlJc w:val="left"/>
      <w:pPr>
        <w:ind w:left="1047" w:hanging="567"/>
      </w:pPr>
    </w:lvl>
    <w:lvl w:ilvl="2" w:tentative="0">
      <w:start w:val="1"/>
      <w:numFmt w:val="decimal"/>
      <w:lvlText w:val="%1.%2.%3."/>
      <w:lvlJc w:val="left"/>
      <w:pPr>
        <w:ind w:left="1189" w:hanging="709"/>
      </w:pPr>
    </w:lvl>
    <w:lvl w:ilvl="3" w:tentative="0">
      <w:start w:val="1"/>
      <w:numFmt w:val="decimal"/>
      <w:lvlText w:val="%1.%2.%3.%4."/>
      <w:lvlJc w:val="left"/>
      <w:pPr>
        <w:ind w:left="1331" w:hanging="851"/>
      </w:pPr>
    </w:lvl>
    <w:lvl w:ilvl="4" w:tentative="0">
      <w:start w:val="1"/>
      <w:numFmt w:val="decimal"/>
      <w:lvlText w:val="%1.%2.%3.%4.%5."/>
      <w:lvlJc w:val="left"/>
      <w:pPr>
        <w:ind w:left="1472" w:hanging="992"/>
      </w:pPr>
    </w:lvl>
    <w:lvl w:ilvl="5" w:tentative="0">
      <w:start w:val="1"/>
      <w:numFmt w:val="decimal"/>
      <w:lvlText w:val="%1.%2.%3.%4.%5.%6."/>
      <w:lvlJc w:val="left"/>
      <w:pPr>
        <w:ind w:left="1614" w:hanging="1134"/>
      </w:pPr>
    </w:lvl>
    <w:lvl w:ilvl="6" w:tentative="0">
      <w:start w:val="1"/>
      <w:numFmt w:val="decimal"/>
      <w:lvlText w:val="%1.%2.%3.%4.%5.%6.%7."/>
      <w:lvlJc w:val="left"/>
      <w:pPr>
        <w:ind w:left="1756" w:hanging="1276"/>
      </w:pPr>
    </w:lvl>
    <w:lvl w:ilvl="7" w:tentative="0">
      <w:start w:val="1"/>
      <w:numFmt w:val="decimal"/>
      <w:lvlText w:val="%1.%2.%3.%4.%5.%6.%7.%8."/>
      <w:lvlJc w:val="left"/>
      <w:pPr>
        <w:ind w:left="1898" w:hanging="1418"/>
      </w:pPr>
    </w:lvl>
    <w:lvl w:ilvl="8" w:tentative="0">
      <w:start w:val="1"/>
      <w:numFmt w:val="decimal"/>
      <w:lvlText w:val="%1.%2.%3.%4.%5.%6.%7.%8.%9."/>
      <w:lvlJc w:val="left"/>
      <w:pPr>
        <w:ind w:left="2039" w:hanging="1559"/>
      </w:pPr>
    </w:lvl>
  </w:abstractNum>
  <w:abstractNum w:abstractNumId="5">
    <w:nsid w:val="40D01F37"/>
    <w:multiLevelType w:val="multilevel"/>
    <w:tmpl w:val="40D01F37"/>
    <w:lvl w:ilvl="0" w:tentative="0">
      <w:start w:val="1"/>
      <w:numFmt w:val="decimal"/>
      <w:lvlText w:val="%1."/>
      <w:lvlJc w:val="left"/>
      <w:pPr>
        <w:ind w:left="905" w:hanging="425"/>
      </w:pPr>
    </w:lvl>
    <w:lvl w:ilvl="1" w:tentative="0">
      <w:start w:val="1"/>
      <w:numFmt w:val="decimal"/>
      <w:lvlText w:val="%1.%2."/>
      <w:lvlJc w:val="left"/>
      <w:pPr>
        <w:ind w:left="1047" w:hanging="567"/>
      </w:pPr>
    </w:lvl>
    <w:lvl w:ilvl="2" w:tentative="0">
      <w:start w:val="1"/>
      <w:numFmt w:val="decimal"/>
      <w:lvlText w:val="%1.%2.%3."/>
      <w:lvlJc w:val="left"/>
      <w:pPr>
        <w:ind w:left="1189" w:hanging="709"/>
      </w:pPr>
    </w:lvl>
    <w:lvl w:ilvl="3" w:tentative="0">
      <w:start w:val="1"/>
      <w:numFmt w:val="decimal"/>
      <w:lvlText w:val="%1.%2.%3.%4."/>
      <w:lvlJc w:val="left"/>
      <w:pPr>
        <w:ind w:left="1331" w:hanging="851"/>
      </w:pPr>
    </w:lvl>
    <w:lvl w:ilvl="4" w:tentative="0">
      <w:start w:val="1"/>
      <w:numFmt w:val="decimal"/>
      <w:lvlText w:val="%1.%2.%3.%4.%5."/>
      <w:lvlJc w:val="left"/>
      <w:pPr>
        <w:ind w:left="1472" w:hanging="992"/>
      </w:pPr>
    </w:lvl>
    <w:lvl w:ilvl="5" w:tentative="0">
      <w:start w:val="1"/>
      <w:numFmt w:val="decimal"/>
      <w:lvlText w:val="%1.%2.%3.%4.%5.%6."/>
      <w:lvlJc w:val="left"/>
      <w:pPr>
        <w:ind w:left="1614" w:hanging="1134"/>
      </w:pPr>
    </w:lvl>
    <w:lvl w:ilvl="6" w:tentative="0">
      <w:start w:val="1"/>
      <w:numFmt w:val="decimal"/>
      <w:lvlText w:val="%1.%2.%3.%4.%5.%6.%7."/>
      <w:lvlJc w:val="left"/>
      <w:pPr>
        <w:ind w:left="1756" w:hanging="1276"/>
      </w:pPr>
    </w:lvl>
    <w:lvl w:ilvl="7" w:tentative="0">
      <w:start w:val="1"/>
      <w:numFmt w:val="decimal"/>
      <w:lvlText w:val="%1.%2.%3.%4.%5.%6.%7.%8."/>
      <w:lvlJc w:val="left"/>
      <w:pPr>
        <w:ind w:left="1898" w:hanging="1418"/>
      </w:pPr>
    </w:lvl>
    <w:lvl w:ilvl="8" w:tentative="0">
      <w:start w:val="1"/>
      <w:numFmt w:val="decimal"/>
      <w:lvlText w:val="%1.%2.%3.%4.%5.%6.%7.%8.%9."/>
      <w:lvlJc w:val="left"/>
      <w:pPr>
        <w:ind w:left="2039" w:hanging="1559"/>
      </w:pPr>
    </w:lvl>
  </w:abstractNum>
  <w:abstractNum w:abstractNumId="6">
    <w:nsid w:val="44C50F90"/>
    <w:multiLevelType w:val="multilevel"/>
    <w:tmpl w:val="44C50F90"/>
    <w:lvl w:ilvl="0" w:tentative="0">
      <w:start w:val="1"/>
      <w:numFmt w:val="lowerLetter"/>
      <w:pStyle w:val="14"/>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7">
    <w:nsid w:val="5603797C"/>
    <w:multiLevelType w:val="multilevel"/>
    <w:tmpl w:val="5603797C"/>
    <w:lvl w:ilvl="0" w:tentative="0">
      <w:start w:val="1"/>
      <w:numFmt w:val="upperLetter"/>
      <w:suff w:val="space"/>
      <w:lvlText w:val="%1"/>
      <w:lvlJc w:val="left"/>
      <w:pPr>
        <w:ind w:left="425" w:hanging="425"/>
      </w:pPr>
      <w:rPr>
        <w:rFonts w:hint="eastAsia"/>
      </w:rPr>
    </w:lvl>
    <w:lvl w:ilvl="1" w:tentative="0">
      <w:start w:val="1"/>
      <w:numFmt w:val="decimal"/>
      <w:pStyle w:val="25"/>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8">
    <w:nsid w:val="657D3FBC"/>
    <w:multiLevelType w:val="multilevel"/>
    <w:tmpl w:val="657D3FBC"/>
    <w:lvl w:ilvl="0" w:tentative="0">
      <w:start w:val="1"/>
      <w:numFmt w:val="upperLetter"/>
      <w:suff w:val="nothing"/>
      <w:lvlText w:val="附录%1"/>
      <w:lvlJc w:val="left"/>
      <w:pPr>
        <w:ind w:left="0" w:firstLine="0"/>
      </w:pPr>
      <w:rPr>
        <w:rFonts w:hint="eastAsia"/>
        <w:spacing w:val="100"/>
      </w:rPr>
    </w:lvl>
    <w:lvl w:ilvl="1" w:tentative="0">
      <w:start w:val="1"/>
      <w:numFmt w:val="decimal"/>
      <w:pStyle w:val="27"/>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eastAsia="黑体"/>
        <w:b w:val="0"/>
        <w:i w:val="0"/>
        <w:sz w:val="21"/>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9">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5"/>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13"/>
      <w:suff w:val="nothing"/>
      <w:lvlText w:val="%1%2.%3.%4　"/>
      <w:lvlJc w:val="left"/>
      <w:pPr>
        <w:ind w:left="0" w:firstLine="0"/>
      </w:pPr>
      <w:rPr>
        <w:rFonts w:hint="eastAsia" w:ascii="黑体" w:eastAsia="黑体"/>
        <w:b w:val="0"/>
        <w:i w:val="0"/>
        <w:sz w:val="21"/>
      </w:rPr>
    </w:lvl>
    <w:lvl w:ilvl="4" w:tentative="0">
      <w:start w:val="1"/>
      <w:numFmt w:val="decimal"/>
      <w:pStyle w:val="12"/>
      <w:suff w:val="nothing"/>
      <w:lvlText w:val="%1%2.%3.%4.%5　"/>
      <w:lvlJc w:val="left"/>
      <w:pPr>
        <w:ind w:left="142" w:firstLine="0"/>
      </w:pPr>
      <w:rPr>
        <w:rFonts w:hint="eastAsia" w:ascii="黑体" w:eastAsia="黑体"/>
        <w:b w:val="0"/>
        <w:i w:val="0"/>
        <w:color w:val="000000" w:themeColor="text1"/>
        <w:sz w:val="21"/>
        <w14:textFill>
          <w14:solidFill>
            <w14:schemeClr w14:val="tx1"/>
          </w14:solidFill>
        </w14:textFill>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9"/>
  </w:num>
  <w:num w:numId="3">
    <w:abstractNumId w:val="6"/>
  </w:num>
  <w:num w:numId="4">
    <w:abstractNumId w:val="7"/>
  </w:num>
  <w:num w:numId="5">
    <w:abstractNumId w:val="8"/>
  </w:num>
  <w:num w:numId="6">
    <w:abstractNumId w:val="3"/>
  </w:num>
  <w:num w:numId="7">
    <w:abstractNumId w:val="2"/>
  </w:num>
  <w:num w:numId="8">
    <w:abstractNumId w:val="0"/>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k2Njk2MDJmYWFlNjc4MTFhOWQ3NmVmYTkxMjViZGEifQ=="/>
  </w:docVars>
  <w:rsids>
    <w:rsidRoot w:val="00331F83"/>
    <w:rsid w:val="00003FE9"/>
    <w:rsid w:val="0002795B"/>
    <w:rsid w:val="00034F49"/>
    <w:rsid w:val="00061187"/>
    <w:rsid w:val="00067806"/>
    <w:rsid w:val="00076B25"/>
    <w:rsid w:val="0008434E"/>
    <w:rsid w:val="000E0BE8"/>
    <w:rsid w:val="000F796F"/>
    <w:rsid w:val="00143CA0"/>
    <w:rsid w:val="00146CCF"/>
    <w:rsid w:val="0015179A"/>
    <w:rsid w:val="0018294A"/>
    <w:rsid w:val="001B445B"/>
    <w:rsid w:val="001E0963"/>
    <w:rsid w:val="001E1C3F"/>
    <w:rsid w:val="001E2069"/>
    <w:rsid w:val="001F6650"/>
    <w:rsid w:val="00201EBA"/>
    <w:rsid w:val="00202CFD"/>
    <w:rsid w:val="00217214"/>
    <w:rsid w:val="00257137"/>
    <w:rsid w:val="00260F5E"/>
    <w:rsid w:val="002870A2"/>
    <w:rsid w:val="00297F0B"/>
    <w:rsid w:val="002A07C8"/>
    <w:rsid w:val="002A259F"/>
    <w:rsid w:val="002A400B"/>
    <w:rsid w:val="002C39BE"/>
    <w:rsid w:val="002C3A18"/>
    <w:rsid w:val="002C7323"/>
    <w:rsid w:val="002E0788"/>
    <w:rsid w:val="002E2F42"/>
    <w:rsid w:val="002F0367"/>
    <w:rsid w:val="00305820"/>
    <w:rsid w:val="0031654E"/>
    <w:rsid w:val="00317109"/>
    <w:rsid w:val="0032193E"/>
    <w:rsid w:val="00331F83"/>
    <w:rsid w:val="00354C21"/>
    <w:rsid w:val="00357BFC"/>
    <w:rsid w:val="00360C98"/>
    <w:rsid w:val="00380A8F"/>
    <w:rsid w:val="00382A4F"/>
    <w:rsid w:val="0039371A"/>
    <w:rsid w:val="003A0665"/>
    <w:rsid w:val="003B2E26"/>
    <w:rsid w:val="003C4E59"/>
    <w:rsid w:val="003D091D"/>
    <w:rsid w:val="00401383"/>
    <w:rsid w:val="00411A4F"/>
    <w:rsid w:val="004323CF"/>
    <w:rsid w:val="004413D3"/>
    <w:rsid w:val="00445FBA"/>
    <w:rsid w:val="00447A3C"/>
    <w:rsid w:val="00471113"/>
    <w:rsid w:val="00491932"/>
    <w:rsid w:val="004A7C2A"/>
    <w:rsid w:val="004B1ABC"/>
    <w:rsid w:val="004D0338"/>
    <w:rsid w:val="004E6F1A"/>
    <w:rsid w:val="004F718E"/>
    <w:rsid w:val="00500C61"/>
    <w:rsid w:val="00504925"/>
    <w:rsid w:val="00543CD7"/>
    <w:rsid w:val="005459C8"/>
    <w:rsid w:val="00546D89"/>
    <w:rsid w:val="0055288F"/>
    <w:rsid w:val="00584916"/>
    <w:rsid w:val="005964FC"/>
    <w:rsid w:val="005A44A9"/>
    <w:rsid w:val="005B6EFD"/>
    <w:rsid w:val="005C7B99"/>
    <w:rsid w:val="005D35DC"/>
    <w:rsid w:val="005D5F0C"/>
    <w:rsid w:val="005E03E4"/>
    <w:rsid w:val="005E30AB"/>
    <w:rsid w:val="005F1A3D"/>
    <w:rsid w:val="006052FB"/>
    <w:rsid w:val="00617880"/>
    <w:rsid w:val="00624953"/>
    <w:rsid w:val="00682497"/>
    <w:rsid w:val="006C086F"/>
    <w:rsid w:val="006D2F2B"/>
    <w:rsid w:val="006F025A"/>
    <w:rsid w:val="006F5F5B"/>
    <w:rsid w:val="007009ED"/>
    <w:rsid w:val="00704307"/>
    <w:rsid w:val="00705677"/>
    <w:rsid w:val="007123B6"/>
    <w:rsid w:val="00715DEA"/>
    <w:rsid w:val="00724019"/>
    <w:rsid w:val="00735285"/>
    <w:rsid w:val="007678C1"/>
    <w:rsid w:val="00773D84"/>
    <w:rsid w:val="007A39D3"/>
    <w:rsid w:val="007B09E2"/>
    <w:rsid w:val="007F7E65"/>
    <w:rsid w:val="00800CE0"/>
    <w:rsid w:val="00807862"/>
    <w:rsid w:val="0081096B"/>
    <w:rsid w:val="00814612"/>
    <w:rsid w:val="00823778"/>
    <w:rsid w:val="00863A28"/>
    <w:rsid w:val="00870A24"/>
    <w:rsid w:val="00872975"/>
    <w:rsid w:val="0088474E"/>
    <w:rsid w:val="0089013D"/>
    <w:rsid w:val="00893853"/>
    <w:rsid w:val="008A0D4D"/>
    <w:rsid w:val="008A244A"/>
    <w:rsid w:val="008A526F"/>
    <w:rsid w:val="008B2639"/>
    <w:rsid w:val="008C6A7A"/>
    <w:rsid w:val="008F29AE"/>
    <w:rsid w:val="008F30B1"/>
    <w:rsid w:val="008F64AB"/>
    <w:rsid w:val="00902006"/>
    <w:rsid w:val="00924D5E"/>
    <w:rsid w:val="00940B99"/>
    <w:rsid w:val="009B505A"/>
    <w:rsid w:val="009D4DB1"/>
    <w:rsid w:val="009D5405"/>
    <w:rsid w:val="009F2A7E"/>
    <w:rsid w:val="00A10C34"/>
    <w:rsid w:val="00A11C15"/>
    <w:rsid w:val="00A35A7D"/>
    <w:rsid w:val="00A40861"/>
    <w:rsid w:val="00A4632C"/>
    <w:rsid w:val="00A57E6F"/>
    <w:rsid w:val="00A77E70"/>
    <w:rsid w:val="00AA7E06"/>
    <w:rsid w:val="00AC410D"/>
    <w:rsid w:val="00AD46A8"/>
    <w:rsid w:val="00AE00F8"/>
    <w:rsid w:val="00B135C3"/>
    <w:rsid w:val="00B14E5F"/>
    <w:rsid w:val="00B20CD3"/>
    <w:rsid w:val="00B34A8F"/>
    <w:rsid w:val="00B436FB"/>
    <w:rsid w:val="00B44321"/>
    <w:rsid w:val="00B61140"/>
    <w:rsid w:val="00B719DE"/>
    <w:rsid w:val="00B978E2"/>
    <w:rsid w:val="00BA09E3"/>
    <w:rsid w:val="00BA772B"/>
    <w:rsid w:val="00BC355F"/>
    <w:rsid w:val="00BD34B3"/>
    <w:rsid w:val="00BD4780"/>
    <w:rsid w:val="00BF2415"/>
    <w:rsid w:val="00C20CEE"/>
    <w:rsid w:val="00C25B11"/>
    <w:rsid w:val="00C37F47"/>
    <w:rsid w:val="00C664E5"/>
    <w:rsid w:val="00C739B6"/>
    <w:rsid w:val="00C9237A"/>
    <w:rsid w:val="00CA59D8"/>
    <w:rsid w:val="00CB48CA"/>
    <w:rsid w:val="00CC1A29"/>
    <w:rsid w:val="00CC7301"/>
    <w:rsid w:val="00CD39F4"/>
    <w:rsid w:val="00CD4298"/>
    <w:rsid w:val="00CD509D"/>
    <w:rsid w:val="00CD647B"/>
    <w:rsid w:val="00CE672A"/>
    <w:rsid w:val="00CF2D17"/>
    <w:rsid w:val="00D02BA6"/>
    <w:rsid w:val="00D05E4F"/>
    <w:rsid w:val="00D069C6"/>
    <w:rsid w:val="00D1017D"/>
    <w:rsid w:val="00D1434A"/>
    <w:rsid w:val="00D15D0E"/>
    <w:rsid w:val="00D17B4C"/>
    <w:rsid w:val="00D35C10"/>
    <w:rsid w:val="00D361F5"/>
    <w:rsid w:val="00D37DF6"/>
    <w:rsid w:val="00D438F1"/>
    <w:rsid w:val="00D510C1"/>
    <w:rsid w:val="00D701EA"/>
    <w:rsid w:val="00D75334"/>
    <w:rsid w:val="00D80F5D"/>
    <w:rsid w:val="00D81F19"/>
    <w:rsid w:val="00D84512"/>
    <w:rsid w:val="00DA6994"/>
    <w:rsid w:val="00DC2B0F"/>
    <w:rsid w:val="00DC7B9B"/>
    <w:rsid w:val="00DD63D8"/>
    <w:rsid w:val="00E04E9F"/>
    <w:rsid w:val="00E0758E"/>
    <w:rsid w:val="00E13C17"/>
    <w:rsid w:val="00E145EA"/>
    <w:rsid w:val="00E2408F"/>
    <w:rsid w:val="00E32D48"/>
    <w:rsid w:val="00E601D2"/>
    <w:rsid w:val="00E623A3"/>
    <w:rsid w:val="00E7249F"/>
    <w:rsid w:val="00E74466"/>
    <w:rsid w:val="00E8748C"/>
    <w:rsid w:val="00E9059D"/>
    <w:rsid w:val="00E960DA"/>
    <w:rsid w:val="00EB3719"/>
    <w:rsid w:val="00EC3539"/>
    <w:rsid w:val="00EC7E42"/>
    <w:rsid w:val="00EE090C"/>
    <w:rsid w:val="00F24577"/>
    <w:rsid w:val="00F34E5B"/>
    <w:rsid w:val="00F4243E"/>
    <w:rsid w:val="00F55572"/>
    <w:rsid w:val="00F70794"/>
    <w:rsid w:val="00F74460"/>
    <w:rsid w:val="00F95332"/>
    <w:rsid w:val="00FA64C8"/>
    <w:rsid w:val="00FB5D24"/>
    <w:rsid w:val="00FD2350"/>
    <w:rsid w:val="00FD3666"/>
    <w:rsid w:val="00FD57B3"/>
    <w:rsid w:val="00FD59B4"/>
    <w:rsid w:val="00FE17F6"/>
    <w:rsid w:val="00FE6F27"/>
    <w:rsid w:val="00FF0C22"/>
    <w:rsid w:val="00FF1050"/>
    <w:rsid w:val="03380B68"/>
    <w:rsid w:val="04AC7907"/>
    <w:rsid w:val="05E03D0C"/>
    <w:rsid w:val="06F95C01"/>
    <w:rsid w:val="0753050D"/>
    <w:rsid w:val="077B780A"/>
    <w:rsid w:val="08332819"/>
    <w:rsid w:val="08556700"/>
    <w:rsid w:val="09A07FF9"/>
    <w:rsid w:val="0D162CA1"/>
    <w:rsid w:val="0D523741"/>
    <w:rsid w:val="0E153741"/>
    <w:rsid w:val="0F543075"/>
    <w:rsid w:val="101F3682"/>
    <w:rsid w:val="1029095A"/>
    <w:rsid w:val="105C0433"/>
    <w:rsid w:val="10AC11D6"/>
    <w:rsid w:val="11A16426"/>
    <w:rsid w:val="12C4339F"/>
    <w:rsid w:val="12E54B30"/>
    <w:rsid w:val="131F4F3E"/>
    <w:rsid w:val="13E27AA8"/>
    <w:rsid w:val="15325C06"/>
    <w:rsid w:val="15792434"/>
    <w:rsid w:val="16B16F35"/>
    <w:rsid w:val="16C17241"/>
    <w:rsid w:val="178725D7"/>
    <w:rsid w:val="18CB25F9"/>
    <w:rsid w:val="19DF7A63"/>
    <w:rsid w:val="1A6A5A7A"/>
    <w:rsid w:val="1C56667E"/>
    <w:rsid w:val="20AE5074"/>
    <w:rsid w:val="223034CD"/>
    <w:rsid w:val="22AE2019"/>
    <w:rsid w:val="23F453B4"/>
    <w:rsid w:val="23F902D1"/>
    <w:rsid w:val="2504136D"/>
    <w:rsid w:val="29064F88"/>
    <w:rsid w:val="294F464E"/>
    <w:rsid w:val="2B5A5C98"/>
    <w:rsid w:val="2DBD32F7"/>
    <w:rsid w:val="304C7301"/>
    <w:rsid w:val="317509A3"/>
    <w:rsid w:val="31E072FA"/>
    <w:rsid w:val="34C203A9"/>
    <w:rsid w:val="369D0EDB"/>
    <w:rsid w:val="38C74734"/>
    <w:rsid w:val="39BF7B21"/>
    <w:rsid w:val="39CE1AF2"/>
    <w:rsid w:val="3A461688"/>
    <w:rsid w:val="3C532134"/>
    <w:rsid w:val="41C46AA4"/>
    <w:rsid w:val="44FD68E2"/>
    <w:rsid w:val="4807482C"/>
    <w:rsid w:val="48A443C6"/>
    <w:rsid w:val="4A0D5D1E"/>
    <w:rsid w:val="4EA34EA3"/>
    <w:rsid w:val="4F18319B"/>
    <w:rsid w:val="50095BEE"/>
    <w:rsid w:val="503F5D11"/>
    <w:rsid w:val="50F96FFC"/>
    <w:rsid w:val="51D206D1"/>
    <w:rsid w:val="523D4F2C"/>
    <w:rsid w:val="526B5CD8"/>
    <w:rsid w:val="53677335"/>
    <w:rsid w:val="567315FF"/>
    <w:rsid w:val="57AC6B77"/>
    <w:rsid w:val="58052609"/>
    <w:rsid w:val="5A902780"/>
    <w:rsid w:val="5D5F468B"/>
    <w:rsid w:val="5F473629"/>
    <w:rsid w:val="5FA72DBF"/>
    <w:rsid w:val="5FB5188F"/>
    <w:rsid w:val="61766E11"/>
    <w:rsid w:val="62A4240A"/>
    <w:rsid w:val="64D83F13"/>
    <w:rsid w:val="661C136B"/>
    <w:rsid w:val="66664368"/>
    <w:rsid w:val="66B06B73"/>
    <w:rsid w:val="670A38BA"/>
    <w:rsid w:val="67903788"/>
    <w:rsid w:val="67B81119"/>
    <w:rsid w:val="67C63D7F"/>
    <w:rsid w:val="69F12B0F"/>
    <w:rsid w:val="6A8915F0"/>
    <w:rsid w:val="6AB06B5E"/>
    <w:rsid w:val="6ADE47EE"/>
    <w:rsid w:val="6AFA652E"/>
    <w:rsid w:val="6F545349"/>
    <w:rsid w:val="77A411C1"/>
    <w:rsid w:val="77E31CE9"/>
    <w:rsid w:val="78054E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35"/>
    <w:unhideWhenUsed/>
    <w:qFormat/>
    <w:uiPriority w:val="1"/>
    <w:pPr>
      <w:spacing w:before="36"/>
      <w:ind w:left="118" w:firstLine="480"/>
    </w:pPr>
    <w:rPr>
      <w:rFonts w:hint="eastAsia" w:ascii="宋体" w:hAnsi="宋体"/>
      <w:sz w:val="24"/>
      <w:szCs w:val="24"/>
    </w:rPr>
  </w:style>
  <w:style w:type="paragraph" w:styleId="3">
    <w:name w:val="Date"/>
    <w:basedOn w:val="1"/>
    <w:next w:val="1"/>
    <w:link w:val="33"/>
    <w:qFormat/>
    <w:uiPriority w:val="0"/>
    <w:pPr>
      <w:ind w:left="100" w:leftChars="2500"/>
    </w:pPr>
  </w:style>
  <w:style w:type="paragraph" w:styleId="4">
    <w:name w:val="footer"/>
    <w:basedOn w:val="1"/>
    <w:link w:val="31"/>
    <w:qFormat/>
    <w:uiPriority w:val="0"/>
    <w:pPr>
      <w:tabs>
        <w:tab w:val="center" w:pos="4153"/>
        <w:tab w:val="right" w:pos="8306"/>
      </w:tabs>
      <w:snapToGrid w:val="0"/>
      <w:jc w:val="left"/>
    </w:pPr>
    <w:rPr>
      <w:sz w:val="18"/>
      <w:szCs w:val="18"/>
    </w:rPr>
  </w:style>
  <w:style w:type="paragraph" w:styleId="5">
    <w:name w:val="header"/>
    <w:basedOn w:val="1"/>
    <w:link w:val="30"/>
    <w:qFormat/>
    <w:uiPriority w:val="0"/>
    <w:pPr>
      <w:tabs>
        <w:tab w:val="center" w:pos="4153"/>
        <w:tab w:val="right" w:pos="8306"/>
      </w:tabs>
      <w:snapToGrid w:val="0"/>
      <w:jc w:val="center"/>
    </w:pPr>
    <w:rPr>
      <w:sz w:val="18"/>
      <w:szCs w:val="18"/>
    </w:rPr>
  </w:style>
  <w:style w:type="paragraph" w:styleId="6">
    <w:name w:val="Normal (Web)"/>
    <w:basedOn w:val="1"/>
    <w:qFormat/>
    <w:uiPriority w:val="0"/>
    <w:rPr>
      <w:sz w:val="24"/>
    </w:rPr>
  </w:style>
  <w:style w:type="paragraph" w:customStyle="1" w:styleId="9">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0">
    <w:name w:val="标准文件_段"/>
    <w:link w:val="3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
    <w:name w:val="标准文件_三级无标题"/>
    <w:basedOn w:val="12"/>
    <w:qFormat/>
    <w:uiPriority w:val="0"/>
    <w:pPr>
      <w:numPr>
        <w:numId w:val="1"/>
      </w:numPr>
      <w:tabs>
        <w:tab w:val="left" w:pos="2100"/>
      </w:tabs>
      <w:spacing w:before="0" w:beforeLines="0" w:after="0" w:afterLines="0"/>
      <w:outlineLvl w:val="9"/>
    </w:pPr>
    <w:rPr>
      <w:rFonts w:ascii="宋体" w:eastAsia="宋体"/>
      <w:szCs w:val="20"/>
    </w:rPr>
  </w:style>
  <w:style w:type="paragraph" w:customStyle="1" w:styleId="12">
    <w:name w:val="标准文件_三级条标题"/>
    <w:basedOn w:val="13"/>
    <w:next w:val="10"/>
    <w:qFormat/>
    <w:uiPriority w:val="0"/>
    <w:pPr>
      <w:widowControl/>
      <w:numPr>
        <w:ilvl w:val="4"/>
      </w:numPr>
      <w:ind w:left="0"/>
      <w:outlineLvl w:val="3"/>
    </w:pPr>
  </w:style>
  <w:style w:type="paragraph" w:customStyle="1" w:styleId="13">
    <w:name w:val="标准文件_二级条标题"/>
    <w:next w:val="10"/>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szCs w:val="22"/>
      <w:lang w:val="en-US" w:eastAsia="zh-CN" w:bidi="ar-SA"/>
    </w:rPr>
  </w:style>
  <w:style w:type="paragraph" w:customStyle="1" w:styleId="14">
    <w:name w:val="标准文件_字母编号列项（一级）"/>
    <w:qFormat/>
    <w:uiPriority w:val="0"/>
    <w:pPr>
      <w:numPr>
        <w:ilvl w:val="0"/>
        <w:numId w:val="3"/>
      </w:numPr>
      <w:jc w:val="both"/>
    </w:pPr>
    <w:rPr>
      <w:rFonts w:ascii="宋体" w:hAnsi="Times New Roman" w:eastAsia="宋体" w:cs="Times New Roman"/>
      <w:sz w:val="21"/>
      <w:lang w:val="en-US" w:eastAsia="zh-CN" w:bidi="ar-SA"/>
    </w:rPr>
  </w:style>
  <w:style w:type="paragraph" w:customStyle="1" w:styleId="15">
    <w:name w:val="标准文件_章标题"/>
    <w:next w:val="10"/>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6">
    <w:name w:val="标准文件_四级条标题"/>
    <w:next w:val="10"/>
    <w:qFormat/>
    <w:uiPriority w:val="0"/>
    <w:pPr>
      <w:widowControl w:val="0"/>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17">
    <w:name w:val="标准文件_五级条标题"/>
    <w:next w:val="10"/>
    <w:qFormat/>
    <w:uiPriority w:val="0"/>
    <w:pPr>
      <w:widowControl w:val="0"/>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8">
    <w:name w:val="标准文件_一级条标题"/>
    <w:basedOn w:val="15"/>
    <w:next w:val="10"/>
    <w:qFormat/>
    <w:uiPriority w:val="0"/>
    <w:pPr>
      <w:numPr>
        <w:ilvl w:val="0"/>
        <w:numId w:val="0"/>
      </w:numPr>
      <w:spacing w:before="50" w:beforeLines="50" w:after="50" w:afterLines="50"/>
      <w:outlineLvl w:val="1"/>
    </w:pPr>
  </w:style>
  <w:style w:type="paragraph" w:customStyle="1" w:styleId="19">
    <w:name w:val="前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20">
    <w:name w:val="标准文件_数字编号列项（二级）"/>
    <w:qFormat/>
    <w:uiPriority w:val="0"/>
    <w:pPr>
      <w:tabs>
        <w:tab w:val="left" w:pos="1276"/>
      </w:tabs>
      <w:ind w:left="1276" w:hanging="425"/>
      <w:jc w:val="both"/>
    </w:pPr>
    <w:rPr>
      <w:rFonts w:ascii="宋体" w:hAnsi="Times New Roman" w:eastAsia="宋体" w:cs="Times New Roman"/>
      <w:sz w:val="21"/>
      <w:lang w:val="en-US" w:eastAsia="zh-CN" w:bidi="ar-SA"/>
    </w:rPr>
  </w:style>
  <w:style w:type="paragraph" w:customStyle="1" w:styleId="21">
    <w:name w:val="标准文件_编号列项（三级）"/>
    <w:qFormat/>
    <w:uiPriority w:val="0"/>
    <w:pPr>
      <w:ind w:left="1701" w:hanging="425"/>
    </w:pPr>
    <w:rPr>
      <w:rFonts w:ascii="宋体" w:hAnsi="Times New Roman" w:eastAsia="宋体" w:cs="Times New Roman"/>
      <w:sz w:val="21"/>
      <w:lang w:val="en-US" w:eastAsia="zh-CN" w:bidi="ar-SA"/>
    </w:rPr>
  </w:style>
  <w:style w:type="paragraph" w:customStyle="1" w:styleId="22">
    <w:name w:val="标准文件_术语条二"/>
    <w:basedOn w:val="1"/>
    <w:next w:val="10"/>
    <w:qFormat/>
    <w:uiPriority w:val="0"/>
    <w:rPr>
      <w:rFonts w:ascii="宋体" w:hAnsi="Times New Roman" w:eastAsia="宋体" w:cs="Times New Roman"/>
      <w:kern w:val="0"/>
      <w:szCs w:val="20"/>
    </w:rPr>
  </w:style>
  <w:style w:type="paragraph" w:styleId="23">
    <w:name w:val="List Paragraph"/>
    <w:basedOn w:val="1"/>
    <w:unhideWhenUsed/>
    <w:qFormat/>
    <w:uiPriority w:val="34"/>
    <w:pPr>
      <w:adjustRightInd w:val="0"/>
      <w:spacing w:line="400" w:lineRule="exact"/>
      <w:ind w:firstLine="420" w:firstLineChars="200"/>
    </w:pPr>
    <w:rPr>
      <w:rFonts w:ascii="Calibri" w:hAnsi="Calibri" w:eastAsia="宋体" w:cs="Times New Roman"/>
      <w:szCs w:val="21"/>
    </w:rPr>
  </w:style>
  <w:style w:type="paragraph" w:customStyle="1" w:styleId="24">
    <w:name w:val="标准文件_表格"/>
    <w:basedOn w:val="10"/>
    <w:qFormat/>
    <w:uiPriority w:val="0"/>
    <w:pPr>
      <w:ind w:firstLine="0" w:firstLineChars="0"/>
      <w:jc w:val="center"/>
    </w:pPr>
    <w:rPr>
      <w:sz w:val="18"/>
    </w:rPr>
  </w:style>
  <w:style w:type="paragraph" w:customStyle="1" w:styleId="25">
    <w:name w:val="标准文件_附录表标题"/>
    <w:next w:val="10"/>
    <w:qFormat/>
    <w:uiPriority w:val="0"/>
    <w:pPr>
      <w:numPr>
        <w:ilvl w:val="1"/>
        <w:numId w:val="4"/>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26">
    <w:name w:val="标准文件_附录一级无标题"/>
    <w:basedOn w:val="27"/>
    <w:qFormat/>
    <w:uiPriority w:val="0"/>
    <w:pPr>
      <w:spacing w:before="0" w:beforeLines="0" w:after="0" w:afterLines="0" w:line="276" w:lineRule="auto"/>
      <w:outlineLvl w:val="9"/>
    </w:pPr>
    <w:rPr>
      <w:rFonts w:ascii="宋体" w:eastAsia="宋体"/>
    </w:rPr>
  </w:style>
  <w:style w:type="paragraph" w:customStyle="1" w:styleId="27">
    <w:name w:val="标准文件_附录一级条标题"/>
    <w:next w:val="10"/>
    <w:qFormat/>
    <w:uiPriority w:val="0"/>
    <w:pPr>
      <w:widowControl w:val="0"/>
      <w:numPr>
        <w:ilvl w:val="1"/>
        <w:numId w:val="5"/>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28">
    <w:name w:val="标准文件_四级无标题"/>
    <w:basedOn w:val="16"/>
    <w:qFormat/>
    <w:uiPriority w:val="0"/>
    <w:pPr>
      <w:spacing w:before="0" w:beforeLines="0" w:after="0" w:afterLines="0"/>
      <w:outlineLvl w:val="9"/>
    </w:pPr>
    <w:rPr>
      <w:rFonts w:ascii="宋体" w:hAnsi="黑体" w:eastAsia="宋体"/>
      <w:szCs w:val="52"/>
    </w:rPr>
  </w:style>
  <w:style w:type="paragraph" w:customStyle="1" w:styleId="29">
    <w:name w:val="标准文件_二级无标题"/>
    <w:basedOn w:val="13"/>
    <w:qFormat/>
    <w:uiPriority w:val="0"/>
    <w:pPr>
      <w:spacing w:before="0" w:beforeLines="0" w:after="0" w:afterLines="0"/>
      <w:outlineLvl w:val="9"/>
    </w:pPr>
    <w:rPr>
      <w:rFonts w:ascii="宋体" w:eastAsia="宋体"/>
    </w:rPr>
  </w:style>
  <w:style w:type="character" w:customStyle="1" w:styleId="30">
    <w:name w:val="页眉 字符"/>
    <w:basedOn w:val="8"/>
    <w:link w:val="5"/>
    <w:qFormat/>
    <w:uiPriority w:val="0"/>
    <w:rPr>
      <w:rFonts w:asciiTheme="minorHAnsi" w:hAnsiTheme="minorHAnsi" w:eastAsiaTheme="minorEastAsia" w:cstheme="minorBidi"/>
      <w:kern w:val="2"/>
      <w:sz w:val="18"/>
      <w:szCs w:val="18"/>
    </w:rPr>
  </w:style>
  <w:style w:type="character" w:customStyle="1" w:styleId="31">
    <w:name w:val="页脚 字符"/>
    <w:basedOn w:val="8"/>
    <w:link w:val="4"/>
    <w:qFormat/>
    <w:uiPriority w:val="0"/>
    <w:rPr>
      <w:rFonts w:asciiTheme="minorHAnsi" w:hAnsiTheme="minorHAnsi" w:eastAsiaTheme="minorEastAsia" w:cstheme="minorBidi"/>
      <w:kern w:val="2"/>
      <w:sz w:val="18"/>
      <w:szCs w:val="18"/>
    </w:rPr>
  </w:style>
  <w:style w:type="paragraph" w:customStyle="1" w:styleId="3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33">
    <w:name w:val="日期 字符"/>
    <w:basedOn w:val="8"/>
    <w:link w:val="3"/>
    <w:qFormat/>
    <w:uiPriority w:val="0"/>
    <w:rPr>
      <w:rFonts w:asciiTheme="minorHAnsi" w:hAnsiTheme="minorHAnsi" w:eastAsiaTheme="minorEastAsia" w:cstheme="minorBidi"/>
      <w:kern w:val="2"/>
      <w:sz w:val="21"/>
      <w:szCs w:val="22"/>
    </w:rPr>
  </w:style>
  <w:style w:type="character" w:customStyle="1" w:styleId="34">
    <w:name w:val="标准文件_段 Char"/>
    <w:link w:val="10"/>
    <w:qFormat/>
    <w:uiPriority w:val="0"/>
    <w:rPr>
      <w:rFonts w:ascii="宋体"/>
      <w:sz w:val="21"/>
    </w:rPr>
  </w:style>
  <w:style w:type="character" w:customStyle="1" w:styleId="35">
    <w:name w:val="正文文本 字符"/>
    <w:basedOn w:val="8"/>
    <w:link w:val="2"/>
    <w:qFormat/>
    <w:uiPriority w:val="1"/>
    <w:rPr>
      <w:rFonts w:ascii="宋体" w:hAnsi="宋体" w:eastAsiaTheme="minorEastAsia" w:cstheme="minorBidi"/>
      <w:kern w:val="2"/>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2489</Words>
  <Characters>2641</Characters>
  <Lines>19</Lines>
  <Paragraphs>5</Paragraphs>
  <TotalTime>89</TotalTime>
  <ScaleCrop>false</ScaleCrop>
  <LinksUpToDate>false</LinksUpToDate>
  <CharactersWithSpaces>2665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2026-07-14T00:28:00Z</dcterms:created>
  <dc:creator>Administrator</dc:creator>
  <cp:lastModifiedBy>王彩君</cp:lastModifiedBy>
  <dcterms:modified xsi:type="dcterms:W3CDTF">2026-07-14T05:54:02Z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88B298338EFC44F4AFA00DCA5F5337CB_13</vt:lpwstr>
  </property>
  <property fmtid="{D5CDD505-2E9C-101B-9397-08002B2CF9AE}" pid="4" name="KSOTemplateDocerSaveRecord">
    <vt:lpwstr>eyJoZGlkIjoiOWJmZWUxZjVlOWY1ZjdmYWE4ZDBlMzIxOTJhZWIzMWEiLCJ1c2VySWQiOiI0NTU4MjM4MTQifQ==</vt:lpwstr>
  </property>
</Properties>
</file>