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11C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7EB837">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26E00AE">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73.100.99</w:t>
            </w:r>
            <w:r>
              <w:rPr>
                <w:rFonts w:ascii="黑体" w:hAnsi="黑体" w:eastAsia="黑体"/>
                <w:sz w:val="21"/>
                <w:szCs w:val="21"/>
              </w:rPr>
              <w:fldChar w:fldCharType="end"/>
            </w:r>
            <w:bookmarkEnd w:id="0"/>
          </w:p>
        </w:tc>
      </w:tr>
      <w:tr w14:paraId="08C0F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C4F429">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E2FE12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1DD77854">
                  <w:pPr>
                    <w:pStyle w:val="52"/>
                    <w:framePr w:wrap="notBeside" w:vAnchor="page" w:hAnchor="page" w:x="1372" w:y="568"/>
                    <w:ind w:left="420" w:right="624"/>
                    <w:rPr>
                      <w:rFonts w:hint="eastAsia" w:ascii="宋体" w:hAnsi="宋体"/>
                      <w:sz w:val="28"/>
                      <w:szCs w:val="28"/>
                    </w:rPr>
                  </w:pPr>
                  <w:r>
                    <w:rPr>
                      <w:sz w:val="21"/>
                      <w:szCs w:val="21"/>
                    </w:rPr>
                    <w:t xml:space="preserve"> </w:t>
                  </w:r>
                </w:p>
              </w:tc>
            </w:tr>
          </w:tbl>
          <w:p w14:paraId="3DDE005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D 93</w:t>
            </w:r>
            <w:r>
              <w:rPr>
                <w:rFonts w:ascii="黑体" w:hAnsi="黑体" w:eastAsia="黑体"/>
                <w:sz w:val="21"/>
                <w:szCs w:val="21"/>
              </w:rPr>
              <w:fldChar w:fldCharType="end"/>
            </w:r>
            <w:bookmarkEnd w:id="1"/>
          </w:p>
        </w:tc>
      </w:tr>
    </w:tbl>
    <w:p w14:paraId="6DC08333">
      <w:pPr>
        <w:pStyle w:val="53"/>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0D7629E6">
      <w:pPr>
        <w:pStyle w:val="198"/>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NXJX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2026</w:t>
      </w:r>
      <w:r>
        <w:fldChar w:fldCharType="end"/>
      </w:r>
      <w:bookmarkEnd w:id="5"/>
    </w:p>
    <w:p w14:paraId="09322577">
      <w:pPr>
        <w:pStyle w:val="199"/>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63D3EF9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49B57E2">
      <w:pPr>
        <w:pStyle w:val="53"/>
        <w:framePr w:w="9639" w:h="6976" w:hRule="exact" w:hSpace="0" w:vSpace="0" w:wrap="around" w:hAnchor="page" w:y="6408"/>
        <w:jc w:val="center"/>
        <w:rPr>
          <w:rFonts w:hint="eastAsia" w:ascii="黑体" w:hAnsi="黑体" w:eastAsia="黑体"/>
          <w:b w:val="0"/>
          <w:bCs w:val="0"/>
          <w:w w:val="100"/>
        </w:rPr>
      </w:pPr>
    </w:p>
    <w:p w14:paraId="668765BF">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矿用刮板输送机断链监测装置</w:t>
      </w:r>
      <w:r>
        <w:fldChar w:fldCharType="end"/>
      </w:r>
      <w:bookmarkEnd w:id="7"/>
    </w:p>
    <w:p w14:paraId="735738C2">
      <w:pPr>
        <w:framePr w:w="9639" w:h="6974" w:hRule="exact" w:wrap="around" w:vAnchor="page" w:hAnchor="page" w:x="1419" w:y="6408" w:anchorLock="1"/>
        <w:ind w:left="-1418"/>
      </w:pPr>
    </w:p>
    <w:p w14:paraId="74296BA6">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Mine scraper conveyor chain break monitoring devicer</w:t>
      </w:r>
      <w:r>
        <w:rPr>
          <w:rFonts w:eastAsia="黑体"/>
          <w:szCs w:val="28"/>
        </w:rPr>
        <w:fldChar w:fldCharType="end"/>
      </w:r>
      <w:bookmarkEnd w:id="8"/>
    </w:p>
    <w:p w14:paraId="7413C533">
      <w:pPr>
        <w:framePr w:w="9639" w:h="6974" w:hRule="exact" w:wrap="around" w:vAnchor="page" w:hAnchor="page" w:x="1419" w:y="6408" w:anchorLock="1"/>
        <w:spacing w:line="760" w:lineRule="exact"/>
        <w:ind w:left="-1418"/>
      </w:pPr>
    </w:p>
    <w:p w14:paraId="35812625">
      <w:pPr>
        <w:pStyle w:val="128"/>
        <w:framePr w:w="9639" w:h="6974" w:hRule="exact" w:wrap="around" w:vAnchor="page" w:hAnchor="page" w:x="1419" w:y="6408" w:anchorLock="1"/>
        <w:textAlignment w:val="bottom"/>
        <w:rPr>
          <w:rFonts w:eastAsia="黑体"/>
          <w:szCs w:val="28"/>
        </w:rPr>
      </w:pPr>
    </w:p>
    <w:p w14:paraId="36A13395">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6144A24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21139FF8">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08ECBCD2">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D1481F4">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6CA5A4A">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宁夏机械工程学会</w:t>
      </w:r>
      <w:r>
        <w:rPr>
          <w:rFonts w:hAnsi="黑体"/>
          <w:w w:val="100"/>
          <w:sz w:val="28"/>
        </w:rPr>
        <w:fldChar w:fldCharType="end"/>
      </w:r>
      <w:bookmarkEnd w:id="18"/>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BF68B0B">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C410DBE">
      <w:pPr>
        <w:pStyle w:val="94"/>
        <w:spacing w:after="360"/>
      </w:pPr>
      <w:bookmarkStart w:id="19" w:name="BookMark1"/>
      <w:bookmarkStart w:id="20" w:name="_Toc230201902"/>
      <w:bookmarkStart w:id="21" w:name="_Toc230201936"/>
      <w:r>
        <w:rPr>
          <w:rFonts w:hint="eastAsia"/>
          <w:spacing w:val="320"/>
        </w:rPr>
        <w:t>目</w:t>
      </w:r>
      <w:r>
        <w:rPr>
          <w:rFonts w:hint="eastAsia"/>
        </w:rPr>
        <w:t>次</w:t>
      </w:r>
    </w:p>
    <w:p w14:paraId="16B92FD5">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"_Toc230201973"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_Toc230201973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96CB0F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"_Toc230201974"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_Toc230201974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9CD71C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"_Toc230201975" </w:instrText>
      </w:r>
      <w:r>
        <w:fldChar w:fldCharType="separate"/>
      </w:r>
      <w:r>
        <w:rPr>
          <w:rStyle w:val="34"/>
          <w:rFonts w:hint="eastAsia"/>
        </w:rPr>
        <w:t>2</w:t>
      </w:r>
      <w:r>
        <w:rPr>
          <w:rStyle w:val="34"/>
        </w:rPr>
        <w:t xml:space="preserve"> </w:t>
      </w:r>
      <w:r>
        <w:rPr>
          <w:rStyle w:val="34"/>
          <w:rFonts w:hint="eastAsia"/>
        </w:rPr>
        <w:t xml:space="preserve"> 规范性引用文</w:t>
      </w:r>
      <w:r>
        <w:rPr>
          <w:rFonts w:hint="eastAsia"/>
        </w:rPr>
        <w:tab/>
      </w:r>
      <w:r>
        <w:rPr>
          <w:rFonts w:hint="eastAsia"/>
        </w:rPr>
        <w:fldChar w:fldCharType="begin"/>
      </w:r>
      <w:r>
        <w:rPr>
          <w:rFonts w:hint="eastAsia"/>
        </w:rPr>
        <w:instrText xml:space="preserve"> </w:instrText>
      </w:r>
      <w:r>
        <w:instrText xml:space="preserve">PAGEREF _Toc230201975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992EA23">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"_Toc230201976"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_Toc230201976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2D0A7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"_Toc230201977" </w:instrText>
      </w:r>
      <w:r>
        <w:fldChar w:fldCharType="separate"/>
      </w:r>
      <w:r>
        <w:rPr>
          <w:rStyle w:val="34"/>
          <w:rFonts w:hint="eastAsia"/>
        </w:rPr>
        <w:t>4</w:t>
      </w:r>
      <w:r>
        <w:rPr>
          <w:rStyle w:val="34"/>
        </w:rPr>
        <w:t xml:space="preserve"> </w:t>
      </w:r>
      <w:r>
        <w:rPr>
          <w:rStyle w:val="34"/>
          <w:rFonts w:hint="eastAsia"/>
        </w:rPr>
        <w:t xml:space="preserve"> 产品型式</w:t>
      </w:r>
      <w:r>
        <w:rPr>
          <w:rFonts w:hint="eastAsia"/>
        </w:rPr>
        <w:tab/>
      </w:r>
      <w:r>
        <w:rPr>
          <w:rFonts w:hint="eastAsia"/>
        </w:rPr>
        <w:fldChar w:fldCharType="begin"/>
      </w:r>
      <w:r>
        <w:rPr>
          <w:rFonts w:hint="eastAsia"/>
        </w:rPr>
        <w:instrText xml:space="preserve"> </w:instrText>
      </w:r>
      <w:r>
        <w:instrText xml:space="preserve">PAGEREF _Toc230201977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EF68710">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"_Toc230201978" </w:instrText>
      </w:r>
      <w:r>
        <w:fldChar w:fldCharType="separate"/>
      </w:r>
      <w:r>
        <w:rPr>
          <w:rStyle w:val="34"/>
          <w:rFonts w:hint="eastAsia"/>
          <w14:scene3d>
            <w14:lightRig w14:rig="threePt" w14:dir="t">
              <w14:rot w14:lat="0" w14:lon="0" w14:rev="0"/>
            </w14:lightRig>
          </w14:scene3d>
        </w:rPr>
        <w:t>4.1</w:t>
      </w:r>
      <w:r>
        <w:rPr>
          <w:rStyle w:val="34"/>
          <w14:scene3d>
            <w14:lightRig w14:rig="threePt" w14:dir="t">
              <w14:rot w14:lat="0" w14:lon="0" w14:rev="0"/>
            </w14:lightRig>
          </w14:scene3d>
        </w:rPr>
        <w:t xml:space="preserve"> </w:t>
      </w:r>
      <w:r>
        <w:rPr>
          <w:rStyle w:val="34"/>
          <w:rFonts w:hint="eastAsia"/>
        </w:rPr>
        <w:t xml:space="preserve"> 产品型号</w:t>
      </w:r>
      <w:r>
        <w:rPr>
          <w:rFonts w:hint="eastAsia"/>
        </w:rPr>
        <w:tab/>
      </w:r>
      <w:r>
        <w:rPr>
          <w:rFonts w:hint="eastAsia"/>
        </w:rPr>
        <w:fldChar w:fldCharType="begin"/>
      </w:r>
      <w:r>
        <w:rPr>
          <w:rFonts w:hint="eastAsia"/>
        </w:rPr>
        <w:instrText xml:space="preserve"> </w:instrText>
      </w:r>
      <w:r>
        <w:instrText xml:space="preserve">PAGEREF _Toc230201978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2A84DE0">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"_Toc230201979" </w:instrText>
      </w:r>
      <w:r>
        <w:fldChar w:fldCharType="separate"/>
      </w:r>
      <w:r>
        <w:rPr>
          <w:rStyle w:val="34"/>
          <w:rFonts w:hint="eastAsia"/>
          <w14:scene3d>
            <w14:lightRig w14:rig="threePt" w14:dir="t">
              <w14:rot w14:lat="0" w14:lon="0" w14:rev="0"/>
            </w14:lightRig>
          </w14:scene3d>
        </w:rPr>
        <w:t>4.2</w:t>
      </w:r>
      <w:r>
        <w:rPr>
          <w:rStyle w:val="34"/>
          <w14:scene3d>
            <w14:lightRig w14:rig="threePt" w14:dir="t">
              <w14:rot w14:lat="0" w14:lon="0" w14:rev="0"/>
            </w14:lightRig>
          </w14:scene3d>
        </w:rPr>
        <w:t xml:space="preserve"> </w:t>
      </w:r>
      <w:r>
        <w:rPr>
          <w:rStyle w:val="34"/>
          <w:rFonts w:hint="eastAsia"/>
        </w:rPr>
        <w:t xml:space="preserve"> 监测装置构成</w:t>
      </w:r>
      <w:r>
        <w:rPr>
          <w:rFonts w:hint="eastAsia"/>
        </w:rPr>
        <w:tab/>
      </w:r>
      <w:r>
        <w:rPr>
          <w:rFonts w:hint="eastAsia"/>
        </w:rPr>
        <w:fldChar w:fldCharType="begin"/>
      </w:r>
      <w:r>
        <w:rPr>
          <w:rFonts w:hint="eastAsia"/>
        </w:rPr>
        <w:instrText xml:space="preserve"> </w:instrText>
      </w:r>
      <w:r>
        <w:instrText xml:space="preserve">PAGEREF _Toc230201979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DC054C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"_Toc230201980" </w:instrText>
      </w:r>
      <w:r>
        <w:fldChar w:fldCharType="separate"/>
      </w:r>
      <w:r>
        <w:rPr>
          <w:rStyle w:val="34"/>
          <w:rFonts w:hint="eastAsia"/>
        </w:rPr>
        <w:t>5</w:t>
      </w:r>
      <w:r>
        <w:rPr>
          <w:rStyle w:val="34"/>
        </w:rPr>
        <w:t xml:space="preserve"> </w:t>
      </w:r>
      <w:r>
        <w:rPr>
          <w:rStyle w:val="34"/>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_Toc230201980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6813E4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"_Toc230201981" </w:instrText>
      </w:r>
      <w:r>
        <w:fldChar w:fldCharType="separate"/>
      </w:r>
      <w:r>
        <w:rPr>
          <w:rStyle w:val="34"/>
          <w:rFonts w:hint="eastAsia"/>
          <w14:scene3d>
            <w14:lightRig w14:rig="threePt" w14:dir="t">
              <w14:rot w14:lat="0" w14:lon="0" w14:rev="0"/>
            </w14:lightRig>
          </w14:scene3d>
        </w:rPr>
        <w:t>5.1</w:t>
      </w:r>
      <w:r>
        <w:rPr>
          <w:rStyle w:val="34"/>
          <w14:scene3d>
            <w14:lightRig w14:rig="threePt" w14:dir="t">
              <w14:rot w14:lat="0" w14:lon="0" w14:rev="0"/>
            </w14:lightRig>
          </w14:scene3d>
        </w:rPr>
        <w:t xml:space="preserve"> </w:t>
      </w:r>
      <w:r>
        <w:rPr>
          <w:rStyle w:val="34"/>
          <w:rFonts w:hint="eastAsia"/>
        </w:rPr>
        <w:t xml:space="preserve"> 一般要求</w:t>
      </w:r>
      <w:r>
        <w:rPr>
          <w:rFonts w:hint="eastAsia"/>
        </w:rPr>
        <w:tab/>
      </w:r>
      <w:r>
        <w:rPr>
          <w:rFonts w:hint="eastAsia"/>
        </w:rPr>
        <w:fldChar w:fldCharType="begin"/>
      </w:r>
      <w:r>
        <w:rPr>
          <w:rFonts w:hint="eastAsia"/>
        </w:rPr>
        <w:instrText xml:space="preserve"> </w:instrText>
      </w:r>
      <w:r>
        <w:instrText xml:space="preserve">PAGEREF _Toc230201981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73FA19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"_Toc230201982" </w:instrText>
      </w:r>
      <w:r>
        <w:fldChar w:fldCharType="separate"/>
      </w:r>
      <w:r>
        <w:rPr>
          <w:rStyle w:val="34"/>
          <w:rFonts w:hint="eastAsia"/>
          <w14:scene3d>
            <w14:lightRig w14:rig="threePt" w14:dir="t">
              <w14:rot w14:lat="0" w14:lon="0" w14:rev="0"/>
            </w14:lightRig>
          </w14:scene3d>
        </w:rPr>
        <w:t>5.2</w:t>
      </w:r>
      <w:r>
        <w:rPr>
          <w:rStyle w:val="34"/>
          <w14:scene3d>
            <w14:lightRig w14:rig="threePt" w14:dir="t">
              <w14:rot w14:lat="0" w14:lon="0" w14:rev="0"/>
            </w14:lightRig>
          </w14:scene3d>
        </w:rPr>
        <w:t xml:space="preserve"> </w:t>
      </w:r>
      <w:r>
        <w:rPr>
          <w:rStyle w:val="34"/>
          <w:rFonts w:hint="eastAsia"/>
        </w:rPr>
        <w:t xml:space="preserve"> 环境条件</w:t>
      </w:r>
      <w:r>
        <w:rPr>
          <w:rFonts w:hint="eastAsia"/>
        </w:rPr>
        <w:tab/>
      </w:r>
      <w:r>
        <w:rPr>
          <w:rFonts w:hint="eastAsia"/>
        </w:rPr>
        <w:fldChar w:fldCharType="begin"/>
      </w:r>
      <w:r>
        <w:rPr>
          <w:rFonts w:hint="eastAsia"/>
        </w:rPr>
        <w:instrText xml:space="preserve"> </w:instrText>
      </w:r>
      <w:r>
        <w:instrText xml:space="preserve">PAGEREF _Toc230201982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F269EE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"_Toc230201983" </w:instrText>
      </w:r>
      <w:r>
        <w:fldChar w:fldCharType="separate"/>
      </w:r>
      <w:r>
        <w:rPr>
          <w:rStyle w:val="34"/>
          <w:rFonts w:hint="eastAsia"/>
          <w14:scene3d>
            <w14:lightRig w14:rig="threePt" w14:dir="t">
              <w14:rot w14:lat="0" w14:lon="0" w14:rev="0"/>
            </w14:lightRig>
          </w14:scene3d>
        </w:rPr>
        <w:t>5.3</w:t>
      </w:r>
      <w:r>
        <w:rPr>
          <w:rStyle w:val="34"/>
          <w14:scene3d>
            <w14:lightRig w14:rig="threePt" w14:dir="t">
              <w14:rot w14:lat="0" w14:lon="0" w14:rev="0"/>
            </w14:lightRig>
          </w14:scene3d>
        </w:rPr>
        <w:t xml:space="preserve"> </w:t>
      </w:r>
      <w:r>
        <w:rPr>
          <w:rStyle w:val="34"/>
          <w:rFonts w:hint="eastAsia"/>
        </w:rPr>
        <w:t xml:space="preserve"> 供电电源</w:t>
      </w:r>
      <w:r>
        <w:rPr>
          <w:rFonts w:hint="eastAsia"/>
        </w:rPr>
        <w:tab/>
      </w:r>
      <w:r>
        <w:rPr>
          <w:rFonts w:hint="eastAsia"/>
        </w:rPr>
        <w:fldChar w:fldCharType="begin"/>
      </w:r>
      <w:r>
        <w:rPr>
          <w:rFonts w:hint="eastAsia"/>
        </w:rPr>
        <w:instrText xml:space="preserve"> </w:instrText>
      </w:r>
      <w:r>
        <w:instrText xml:space="preserve">PAGEREF _Toc230201983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7AAF29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"_Toc230201984" </w:instrText>
      </w:r>
      <w:r>
        <w:fldChar w:fldCharType="separate"/>
      </w:r>
      <w:r>
        <w:rPr>
          <w:rStyle w:val="34"/>
          <w:rFonts w:hint="eastAsia"/>
          <w14:scene3d>
            <w14:lightRig w14:rig="threePt" w14:dir="t">
              <w14:rot w14:lat="0" w14:lon="0" w14:rev="0"/>
            </w14:lightRig>
          </w14:scene3d>
        </w:rPr>
        <w:t>5.4</w:t>
      </w:r>
      <w:r>
        <w:rPr>
          <w:rStyle w:val="34"/>
          <w14:scene3d>
            <w14:lightRig w14:rig="threePt" w14:dir="t">
              <w14:rot w14:lat="0" w14:lon="0" w14:rev="0"/>
            </w14:lightRig>
          </w14:scene3d>
        </w:rPr>
        <w:t xml:space="preserve"> </w:t>
      </w:r>
      <w:r>
        <w:rPr>
          <w:rStyle w:val="34"/>
          <w:rFonts w:hint="eastAsia"/>
        </w:rPr>
        <w:t xml:space="preserve"> 主要技术要求</w:t>
      </w:r>
      <w:r>
        <w:rPr>
          <w:rFonts w:hint="eastAsia"/>
        </w:rPr>
        <w:tab/>
      </w:r>
      <w:r>
        <w:rPr>
          <w:rFonts w:hint="eastAsia"/>
        </w:rPr>
        <w:fldChar w:fldCharType="begin"/>
      </w:r>
      <w:r>
        <w:rPr>
          <w:rFonts w:hint="eastAsia"/>
        </w:rPr>
        <w:instrText xml:space="preserve"> </w:instrText>
      </w:r>
      <w:r>
        <w:instrText xml:space="preserve">PAGEREF _Toc230201984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429494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"_Toc230201985" </w:instrText>
      </w:r>
      <w:r>
        <w:fldChar w:fldCharType="separate"/>
      </w:r>
      <w:r>
        <w:rPr>
          <w:rStyle w:val="34"/>
          <w:rFonts w:hint="eastAsia"/>
          <w14:scene3d>
            <w14:lightRig w14:rig="threePt" w14:dir="t">
              <w14:rot w14:lat="0" w14:lon="0" w14:rev="0"/>
            </w14:lightRig>
          </w14:scene3d>
        </w:rPr>
        <w:t>5.5</w:t>
      </w:r>
      <w:r>
        <w:rPr>
          <w:rStyle w:val="34"/>
          <w14:scene3d>
            <w14:lightRig w14:rig="threePt" w14:dir="t">
              <w14:rot w14:lat="0" w14:lon="0" w14:rev="0"/>
            </w14:lightRig>
          </w14:scene3d>
        </w:rPr>
        <w:t xml:space="preserve"> </w:t>
      </w:r>
      <w:r>
        <w:rPr>
          <w:rStyle w:val="34"/>
          <w:rFonts w:hint="eastAsia"/>
        </w:rPr>
        <w:t xml:space="preserve"> 电源波动适应能力</w:t>
      </w:r>
      <w:r>
        <w:rPr>
          <w:rFonts w:hint="eastAsia"/>
        </w:rPr>
        <w:tab/>
      </w:r>
      <w:r>
        <w:rPr>
          <w:rFonts w:hint="eastAsia"/>
        </w:rPr>
        <w:fldChar w:fldCharType="begin"/>
      </w:r>
      <w:r>
        <w:rPr>
          <w:rFonts w:hint="eastAsia"/>
        </w:rPr>
        <w:instrText xml:space="preserve"> </w:instrText>
      </w:r>
      <w:r>
        <w:instrText xml:space="preserve">PAGEREF _Toc230201985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EECC1A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"_Toc230201986" </w:instrText>
      </w:r>
      <w:r>
        <w:fldChar w:fldCharType="separate"/>
      </w:r>
      <w:r>
        <w:rPr>
          <w:rStyle w:val="34"/>
          <w:rFonts w:hint="eastAsia"/>
          <w14:scene3d>
            <w14:lightRig w14:rig="threePt" w14:dir="t">
              <w14:rot w14:lat="0" w14:lon="0" w14:rev="0"/>
            </w14:lightRig>
          </w14:scene3d>
        </w:rPr>
        <w:t>5.6</w:t>
      </w:r>
      <w:r>
        <w:rPr>
          <w:rStyle w:val="34"/>
          <w14:scene3d>
            <w14:lightRig w14:rig="threePt" w14:dir="t">
              <w14:rot w14:lat="0" w14:lon="0" w14:rev="0"/>
            </w14:lightRig>
          </w14:scene3d>
        </w:rPr>
        <w:t xml:space="preserve"> </w:t>
      </w:r>
      <w:r>
        <w:rPr>
          <w:rStyle w:val="34"/>
          <w:rFonts w:hint="eastAsia"/>
        </w:rPr>
        <w:t xml:space="preserve"> 工作稳定性</w:t>
      </w:r>
      <w:r>
        <w:rPr>
          <w:rFonts w:hint="eastAsia"/>
        </w:rPr>
        <w:tab/>
      </w:r>
      <w:r>
        <w:rPr>
          <w:rFonts w:hint="eastAsia"/>
        </w:rPr>
        <w:fldChar w:fldCharType="begin"/>
      </w:r>
      <w:r>
        <w:rPr>
          <w:rFonts w:hint="eastAsia"/>
        </w:rPr>
        <w:instrText xml:space="preserve"> </w:instrText>
      </w:r>
      <w:r>
        <w:instrText xml:space="preserve">PAGEREF _Toc230201986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BCEA2A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"_Toc230201987" </w:instrText>
      </w:r>
      <w:r>
        <w:fldChar w:fldCharType="separate"/>
      </w:r>
      <w:r>
        <w:rPr>
          <w:rStyle w:val="34"/>
          <w:rFonts w:hint="eastAsia"/>
          <w14:scene3d>
            <w14:lightRig w14:rig="threePt" w14:dir="t">
              <w14:rot w14:lat="0" w14:lon="0" w14:rev="0"/>
            </w14:lightRig>
          </w14:scene3d>
        </w:rPr>
        <w:t>5.7</w:t>
      </w:r>
      <w:r>
        <w:rPr>
          <w:rStyle w:val="34"/>
          <w14:scene3d>
            <w14:lightRig w14:rig="threePt" w14:dir="t">
              <w14:rot w14:lat="0" w14:lon="0" w14:rev="0"/>
            </w14:lightRig>
          </w14:scene3d>
        </w:rPr>
        <w:t xml:space="preserve"> </w:t>
      </w:r>
      <w:r>
        <w:rPr>
          <w:rStyle w:val="34"/>
          <w:rFonts w:hint="eastAsia"/>
        </w:rPr>
        <w:t xml:space="preserve"> 防爆要求</w:t>
      </w:r>
      <w:r>
        <w:rPr>
          <w:rFonts w:hint="eastAsia"/>
        </w:rPr>
        <w:tab/>
      </w:r>
      <w:r>
        <w:rPr>
          <w:rFonts w:hint="eastAsia"/>
        </w:rPr>
        <w:fldChar w:fldCharType="begin"/>
      </w:r>
      <w:r>
        <w:rPr>
          <w:rFonts w:hint="eastAsia"/>
        </w:rPr>
        <w:instrText xml:space="preserve"> </w:instrText>
      </w:r>
      <w:r>
        <w:instrText xml:space="preserve">PAGEREF _Toc230201987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14298F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"_Toc230201988" </w:instrText>
      </w:r>
      <w:r>
        <w:fldChar w:fldCharType="separate"/>
      </w:r>
      <w:r>
        <w:rPr>
          <w:rStyle w:val="34"/>
          <w:rFonts w:hint="eastAsia"/>
          <w14:scene3d>
            <w14:lightRig w14:rig="threePt" w14:dir="t">
              <w14:rot w14:lat="0" w14:lon="0" w14:rev="0"/>
            </w14:lightRig>
          </w14:scene3d>
        </w:rPr>
        <w:t>5.8</w:t>
      </w:r>
      <w:r>
        <w:rPr>
          <w:rStyle w:val="34"/>
          <w14:scene3d>
            <w14:lightRig w14:rig="threePt" w14:dir="t">
              <w14:rot w14:lat="0" w14:lon="0" w14:rev="0"/>
            </w14:lightRig>
          </w14:scene3d>
        </w:rPr>
        <w:t xml:space="preserve"> </w:t>
      </w:r>
      <w:r>
        <w:rPr>
          <w:rStyle w:val="34"/>
          <w:rFonts w:hint="eastAsia"/>
        </w:rPr>
        <w:t xml:space="preserve"> 主要零部件技术要求</w:t>
      </w:r>
      <w:r>
        <w:rPr>
          <w:rFonts w:hint="eastAsia"/>
        </w:rPr>
        <w:tab/>
      </w:r>
      <w:r>
        <w:rPr>
          <w:rFonts w:hint="eastAsia"/>
        </w:rPr>
        <w:fldChar w:fldCharType="begin"/>
      </w:r>
      <w:r>
        <w:rPr>
          <w:rFonts w:hint="eastAsia"/>
        </w:rPr>
        <w:instrText xml:space="preserve"> </w:instrText>
      </w:r>
      <w:r>
        <w:instrText xml:space="preserve">PAGEREF _Toc230201988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2F218D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"_Toc230201989" </w:instrText>
      </w:r>
      <w:r>
        <w:fldChar w:fldCharType="separate"/>
      </w:r>
      <w:r>
        <w:rPr>
          <w:rStyle w:val="34"/>
          <w:rFonts w:hint="eastAsia"/>
        </w:rPr>
        <w:t>6</w:t>
      </w:r>
      <w:r>
        <w:rPr>
          <w:rStyle w:val="34"/>
        </w:rPr>
        <w:t xml:space="preserve"> </w:t>
      </w:r>
      <w:r>
        <w:rPr>
          <w:rStyle w:val="34"/>
          <w:rFonts w:hint="eastAsia"/>
        </w:rPr>
        <w:t xml:space="preserve"> 试验方法</w:t>
      </w:r>
      <w:r>
        <w:rPr>
          <w:rFonts w:hint="eastAsia"/>
        </w:rPr>
        <w:tab/>
      </w:r>
      <w:r>
        <w:rPr>
          <w:rFonts w:hint="eastAsia"/>
        </w:rPr>
        <w:fldChar w:fldCharType="begin"/>
      </w:r>
      <w:r>
        <w:rPr>
          <w:rFonts w:hint="eastAsia"/>
        </w:rPr>
        <w:instrText xml:space="preserve"> </w:instrText>
      </w:r>
      <w:r>
        <w:instrText xml:space="preserve">PAGEREF _Toc230201989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CAFA7E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"_Toc230201990" </w:instrText>
      </w:r>
      <w:r>
        <w:fldChar w:fldCharType="separate"/>
      </w:r>
      <w:r>
        <w:rPr>
          <w:rStyle w:val="34"/>
          <w:rFonts w:hint="eastAsia"/>
          <w14:scene3d>
            <w14:lightRig w14:rig="threePt" w14:dir="t">
              <w14:rot w14:lat="0" w14:lon="0" w14:rev="0"/>
            </w14:lightRig>
          </w14:scene3d>
        </w:rPr>
        <w:t>6.1</w:t>
      </w:r>
      <w:r>
        <w:rPr>
          <w:rStyle w:val="34"/>
          <w14:scene3d>
            <w14:lightRig w14:rig="threePt" w14:dir="t">
              <w14:rot w14:lat="0" w14:lon="0" w14:rev="0"/>
            </w14:lightRig>
          </w14:scene3d>
        </w:rPr>
        <w:t xml:space="preserve"> </w:t>
      </w:r>
      <w:r>
        <w:rPr>
          <w:rStyle w:val="34"/>
          <w:rFonts w:hint="eastAsia"/>
        </w:rPr>
        <w:t xml:space="preserve"> 试验环境条件</w:t>
      </w:r>
      <w:r>
        <w:rPr>
          <w:rFonts w:hint="eastAsia"/>
        </w:rPr>
        <w:tab/>
      </w:r>
      <w:r>
        <w:rPr>
          <w:rFonts w:hint="eastAsia"/>
        </w:rPr>
        <w:fldChar w:fldCharType="begin"/>
      </w:r>
      <w:r>
        <w:rPr>
          <w:rFonts w:hint="eastAsia"/>
        </w:rPr>
        <w:instrText xml:space="preserve"> </w:instrText>
      </w:r>
      <w:r>
        <w:instrText xml:space="preserve">PAGEREF _Toc230201990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9CA154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"_Toc230201991" </w:instrText>
      </w:r>
      <w:r>
        <w:fldChar w:fldCharType="separate"/>
      </w:r>
      <w:r>
        <w:rPr>
          <w:rStyle w:val="34"/>
          <w:rFonts w:hint="eastAsia"/>
          <w14:scene3d>
            <w14:lightRig w14:rig="threePt" w14:dir="t">
              <w14:rot w14:lat="0" w14:lon="0" w14:rev="0"/>
            </w14:lightRig>
          </w14:scene3d>
        </w:rPr>
        <w:t>6.2</w:t>
      </w:r>
      <w:r>
        <w:rPr>
          <w:rStyle w:val="34"/>
          <w14:scene3d>
            <w14:lightRig w14:rig="threePt" w14:dir="t">
              <w14:rot w14:lat="0" w14:lon="0" w14:rev="0"/>
            </w14:lightRig>
          </w14:scene3d>
        </w:rPr>
        <w:t xml:space="preserve"> </w:t>
      </w:r>
      <w:r>
        <w:rPr>
          <w:rStyle w:val="34"/>
          <w:rFonts w:hint="eastAsia"/>
        </w:rPr>
        <w:t xml:space="preserve"> 试验仪表和设备</w:t>
      </w:r>
      <w:r>
        <w:rPr>
          <w:rFonts w:hint="eastAsia"/>
        </w:rPr>
        <w:tab/>
      </w:r>
      <w:r>
        <w:rPr>
          <w:rFonts w:hint="eastAsia"/>
        </w:rPr>
        <w:fldChar w:fldCharType="begin"/>
      </w:r>
      <w:r>
        <w:rPr>
          <w:rFonts w:hint="eastAsia"/>
        </w:rPr>
        <w:instrText xml:space="preserve"> </w:instrText>
      </w:r>
      <w:r>
        <w:instrText xml:space="preserve">PAGEREF _Toc230201991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89FFB8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"_Toc230201992" </w:instrText>
      </w:r>
      <w:r>
        <w:fldChar w:fldCharType="separate"/>
      </w:r>
      <w:r>
        <w:rPr>
          <w:rStyle w:val="34"/>
          <w:rFonts w:hint="eastAsia"/>
          <w14:scene3d>
            <w14:lightRig w14:rig="threePt" w14:dir="t">
              <w14:rot w14:lat="0" w14:lon="0" w14:rev="0"/>
            </w14:lightRig>
          </w14:scene3d>
        </w:rPr>
        <w:t>6.3</w:t>
      </w:r>
      <w:r>
        <w:rPr>
          <w:rStyle w:val="34"/>
          <w14:scene3d>
            <w14:lightRig w14:rig="threePt" w14:dir="t">
              <w14:rot w14:lat="0" w14:lon="0" w14:rev="0"/>
            </w14:lightRig>
          </w14:scene3d>
        </w:rPr>
        <w:t xml:space="preserve"> </w:t>
      </w:r>
      <w:r>
        <w:rPr>
          <w:rStyle w:val="34"/>
          <w:rFonts w:hint="eastAsia"/>
        </w:rPr>
        <w:t xml:space="preserve"> 监测装置连接</w:t>
      </w:r>
      <w:r>
        <w:rPr>
          <w:rFonts w:hint="eastAsia"/>
        </w:rPr>
        <w:tab/>
      </w:r>
      <w:r>
        <w:rPr>
          <w:rFonts w:hint="eastAsia"/>
        </w:rPr>
        <w:fldChar w:fldCharType="begin"/>
      </w:r>
      <w:r>
        <w:rPr>
          <w:rFonts w:hint="eastAsia"/>
        </w:rPr>
        <w:instrText xml:space="preserve"> </w:instrText>
      </w:r>
      <w:r>
        <w:instrText xml:space="preserve">PAGEREF _Toc230201992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C81014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"_Toc230201993" </w:instrText>
      </w:r>
      <w:r>
        <w:fldChar w:fldCharType="separate"/>
      </w:r>
      <w:r>
        <w:rPr>
          <w:rStyle w:val="34"/>
          <w:rFonts w:hint="eastAsia"/>
          <w14:scene3d>
            <w14:lightRig w14:rig="threePt" w14:dir="t">
              <w14:rot w14:lat="0" w14:lon="0" w14:rev="0"/>
            </w14:lightRig>
          </w14:scene3d>
        </w:rPr>
        <w:t>6.4</w:t>
      </w:r>
      <w:r>
        <w:rPr>
          <w:rStyle w:val="34"/>
          <w14:scene3d>
            <w14:lightRig w14:rig="threePt" w14:dir="t">
              <w14:rot w14:lat="0" w14:lon="0" w14:rev="0"/>
            </w14:lightRig>
          </w14:scene3d>
        </w:rPr>
        <w:t xml:space="preserve"> </w:t>
      </w:r>
      <w:r>
        <w:rPr>
          <w:rStyle w:val="34"/>
          <w:rFonts w:hint="eastAsia"/>
        </w:rPr>
        <w:t xml:space="preserve"> 主要功能试验</w:t>
      </w:r>
      <w:r>
        <w:rPr>
          <w:rFonts w:hint="eastAsia"/>
        </w:rPr>
        <w:tab/>
      </w:r>
      <w:r>
        <w:rPr>
          <w:rFonts w:hint="eastAsia"/>
        </w:rPr>
        <w:fldChar w:fldCharType="begin"/>
      </w:r>
      <w:r>
        <w:rPr>
          <w:rFonts w:hint="eastAsia"/>
        </w:rPr>
        <w:instrText xml:space="preserve"> </w:instrText>
      </w:r>
      <w:r>
        <w:instrText xml:space="preserve">PAGEREF _Toc230201993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C1A99B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"_Toc230201994" </w:instrText>
      </w:r>
      <w:r>
        <w:fldChar w:fldCharType="separate"/>
      </w:r>
      <w:r>
        <w:rPr>
          <w:rStyle w:val="34"/>
          <w:rFonts w:hint="eastAsia"/>
          <w14:scene3d>
            <w14:lightRig w14:rig="threePt" w14:dir="t">
              <w14:rot w14:lat="0" w14:lon="0" w14:rev="0"/>
            </w14:lightRig>
          </w14:scene3d>
        </w:rPr>
        <w:t>6.5</w:t>
      </w:r>
      <w:r>
        <w:rPr>
          <w:rStyle w:val="34"/>
          <w14:scene3d>
            <w14:lightRig w14:rig="threePt" w14:dir="t">
              <w14:rot w14:lat="0" w14:lon="0" w14:rev="0"/>
            </w14:lightRig>
          </w14:scene3d>
        </w:rPr>
        <w:t xml:space="preserve"> </w:t>
      </w:r>
      <w:r>
        <w:rPr>
          <w:rStyle w:val="34"/>
          <w:rFonts w:hint="eastAsia"/>
        </w:rPr>
        <w:t xml:space="preserve"> 电源波动适应能力试验</w:t>
      </w:r>
      <w:r>
        <w:rPr>
          <w:rFonts w:hint="eastAsia"/>
        </w:rPr>
        <w:tab/>
      </w:r>
      <w:r>
        <w:rPr>
          <w:rFonts w:hint="eastAsia"/>
        </w:rPr>
        <w:fldChar w:fldCharType="begin"/>
      </w:r>
      <w:r>
        <w:rPr>
          <w:rFonts w:hint="eastAsia"/>
        </w:rPr>
        <w:instrText xml:space="preserve"> </w:instrText>
      </w:r>
      <w:r>
        <w:instrText xml:space="preserve">PAGEREF _Toc230201994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388FA8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"_Toc230201995" </w:instrText>
      </w:r>
      <w:r>
        <w:fldChar w:fldCharType="separate"/>
      </w:r>
      <w:r>
        <w:rPr>
          <w:rStyle w:val="34"/>
          <w:rFonts w:hint="eastAsia"/>
          <w14:scene3d>
            <w14:lightRig w14:rig="threePt" w14:dir="t">
              <w14:rot w14:lat="0" w14:lon="0" w14:rev="0"/>
            </w14:lightRig>
          </w14:scene3d>
        </w:rPr>
        <w:t>6.6</w:t>
      </w:r>
      <w:r>
        <w:rPr>
          <w:rStyle w:val="34"/>
          <w14:scene3d>
            <w14:lightRig w14:rig="threePt" w14:dir="t">
              <w14:rot w14:lat="0" w14:lon="0" w14:rev="0"/>
            </w14:lightRig>
          </w14:scene3d>
        </w:rPr>
        <w:t xml:space="preserve"> </w:t>
      </w:r>
      <w:r>
        <w:rPr>
          <w:rStyle w:val="34"/>
          <w:rFonts w:hint="eastAsia"/>
        </w:rPr>
        <w:t xml:space="preserve"> 工作稳定性试验</w:t>
      </w:r>
      <w:r>
        <w:rPr>
          <w:rFonts w:hint="eastAsia"/>
        </w:rPr>
        <w:tab/>
      </w:r>
      <w:r>
        <w:rPr>
          <w:rFonts w:hint="eastAsia"/>
        </w:rPr>
        <w:fldChar w:fldCharType="begin"/>
      </w:r>
      <w:r>
        <w:rPr>
          <w:rFonts w:hint="eastAsia"/>
        </w:rPr>
        <w:instrText xml:space="preserve"> </w:instrText>
      </w:r>
      <w:r>
        <w:instrText xml:space="preserve">PAGEREF _Toc230201995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8FF9AC2">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"_Toc230201996" </w:instrText>
      </w:r>
      <w:r>
        <w:fldChar w:fldCharType="separate"/>
      </w:r>
      <w:r>
        <w:rPr>
          <w:rStyle w:val="34"/>
          <w:rFonts w:hint="eastAsia"/>
          <w14:scene3d>
            <w14:lightRig w14:rig="threePt" w14:dir="t">
              <w14:rot w14:lat="0" w14:lon="0" w14:rev="0"/>
            </w14:lightRig>
          </w14:scene3d>
        </w:rPr>
        <w:t>6.7</w:t>
      </w:r>
      <w:r>
        <w:rPr>
          <w:rStyle w:val="34"/>
          <w14:scene3d>
            <w14:lightRig w14:rig="threePt" w14:dir="t">
              <w14:rot w14:lat="0" w14:lon="0" w14:rev="0"/>
            </w14:lightRig>
          </w14:scene3d>
        </w:rPr>
        <w:t xml:space="preserve"> </w:t>
      </w:r>
      <w:r>
        <w:rPr>
          <w:rStyle w:val="34"/>
          <w:rFonts w:hint="eastAsia"/>
        </w:rPr>
        <w:t xml:space="preserve"> 防爆性能试验</w:t>
      </w:r>
      <w:r>
        <w:rPr>
          <w:rFonts w:hint="eastAsia"/>
        </w:rPr>
        <w:tab/>
      </w:r>
      <w:r>
        <w:rPr>
          <w:rFonts w:hint="eastAsia"/>
        </w:rPr>
        <w:fldChar w:fldCharType="begin"/>
      </w:r>
      <w:r>
        <w:rPr>
          <w:rFonts w:hint="eastAsia"/>
        </w:rPr>
        <w:instrText xml:space="preserve"> </w:instrText>
      </w:r>
      <w:r>
        <w:instrText xml:space="preserve">PAGEREF _Toc230201996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0E0C12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"_Toc230201997" </w:instrText>
      </w:r>
      <w:r>
        <w:fldChar w:fldCharType="separate"/>
      </w:r>
      <w:r>
        <w:rPr>
          <w:rStyle w:val="34"/>
          <w:rFonts w:hint="eastAsia"/>
        </w:rPr>
        <w:t>7</w:t>
      </w:r>
      <w:r>
        <w:rPr>
          <w:rStyle w:val="34"/>
        </w:rPr>
        <w:t xml:space="preserve"> </w:t>
      </w:r>
      <w:r>
        <w:rPr>
          <w:rStyle w:val="34"/>
          <w:rFonts w:hint="eastAsia"/>
        </w:rPr>
        <w:t xml:space="preserve"> 检验规则</w:t>
      </w:r>
      <w:r>
        <w:rPr>
          <w:rFonts w:hint="eastAsia"/>
        </w:rPr>
        <w:tab/>
      </w:r>
      <w:r>
        <w:rPr>
          <w:rFonts w:hint="eastAsia"/>
        </w:rPr>
        <w:fldChar w:fldCharType="begin"/>
      </w:r>
      <w:r>
        <w:rPr>
          <w:rFonts w:hint="eastAsia"/>
        </w:rPr>
        <w:instrText xml:space="preserve"> </w:instrText>
      </w:r>
      <w:r>
        <w:instrText xml:space="preserve">PAGEREF _Toc230201997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95F6D6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"_Toc230201998" </w:instrText>
      </w:r>
      <w:r>
        <w:fldChar w:fldCharType="separate"/>
      </w:r>
      <w:r>
        <w:rPr>
          <w:rStyle w:val="34"/>
          <w:rFonts w:hint="eastAsia"/>
          <w14:scene3d>
            <w14:lightRig w14:rig="threePt" w14:dir="t">
              <w14:rot w14:lat="0" w14:lon="0" w14:rev="0"/>
            </w14:lightRig>
          </w14:scene3d>
        </w:rPr>
        <w:t>7.1</w:t>
      </w:r>
      <w:r>
        <w:rPr>
          <w:rStyle w:val="34"/>
          <w14:scene3d>
            <w14:lightRig w14:rig="threePt" w14:dir="t">
              <w14:rot w14:lat="0" w14:lon="0" w14:rev="0"/>
            </w14:lightRig>
          </w14:scene3d>
        </w:rPr>
        <w:t xml:space="preserve"> </w:t>
      </w:r>
      <w:r>
        <w:rPr>
          <w:rStyle w:val="34"/>
          <w:rFonts w:hint="eastAsia"/>
        </w:rPr>
        <w:t xml:space="preserve"> 检验分类</w:t>
      </w:r>
      <w:r>
        <w:rPr>
          <w:rFonts w:hint="eastAsia"/>
        </w:rPr>
        <w:tab/>
      </w:r>
      <w:r>
        <w:rPr>
          <w:rFonts w:hint="eastAsia"/>
        </w:rPr>
        <w:fldChar w:fldCharType="begin"/>
      </w:r>
      <w:r>
        <w:rPr>
          <w:rFonts w:hint="eastAsia"/>
        </w:rPr>
        <w:instrText xml:space="preserve"> </w:instrText>
      </w:r>
      <w:r>
        <w:instrText xml:space="preserve">PAGEREF _Toc230201998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CF50002">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"_Toc230201999" </w:instrText>
      </w:r>
      <w:r>
        <w:fldChar w:fldCharType="separate"/>
      </w:r>
      <w:r>
        <w:rPr>
          <w:rStyle w:val="34"/>
          <w:rFonts w:hint="eastAsia"/>
          <w14:scene3d>
            <w14:lightRig w14:rig="threePt" w14:dir="t">
              <w14:rot w14:lat="0" w14:lon="0" w14:rev="0"/>
            </w14:lightRig>
          </w14:scene3d>
        </w:rPr>
        <w:t>7.2</w:t>
      </w:r>
      <w:r>
        <w:rPr>
          <w:rStyle w:val="34"/>
          <w14:scene3d>
            <w14:lightRig w14:rig="threePt" w14:dir="t">
              <w14:rot w14:lat="0" w14:lon="0" w14:rev="0"/>
            </w14:lightRig>
          </w14:scene3d>
        </w:rPr>
        <w:t xml:space="preserve"> </w:t>
      </w:r>
      <w:r>
        <w:rPr>
          <w:rStyle w:val="34"/>
          <w:rFonts w:hint="eastAsia"/>
        </w:rPr>
        <w:t xml:space="preserve"> 出厂检验</w:t>
      </w:r>
      <w:r>
        <w:rPr>
          <w:rFonts w:hint="eastAsia"/>
        </w:rPr>
        <w:tab/>
      </w:r>
      <w:r>
        <w:rPr>
          <w:rFonts w:hint="eastAsia"/>
        </w:rPr>
        <w:fldChar w:fldCharType="begin"/>
      </w:r>
      <w:r>
        <w:rPr>
          <w:rFonts w:hint="eastAsia"/>
        </w:rPr>
        <w:instrText xml:space="preserve"> </w:instrText>
      </w:r>
      <w:r>
        <w:instrText xml:space="preserve">PAGEREF _Toc230201999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E0DFC4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"_Toc230202000" </w:instrText>
      </w:r>
      <w:r>
        <w:fldChar w:fldCharType="separate"/>
      </w:r>
      <w:r>
        <w:rPr>
          <w:rStyle w:val="34"/>
          <w:rFonts w:hint="eastAsia"/>
          <w14:scene3d>
            <w14:lightRig w14:rig="threePt" w14:dir="t">
              <w14:rot w14:lat="0" w14:lon="0" w14:rev="0"/>
            </w14:lightRig>
          </w14:scene3d>
        </w:rPr>
        <w:t>7.3</w:t>
      </w:r>
      <w:r>
        <w:rPr>
          <w:rStyle w:val="34"/>
          <w14:scene3d>
            <w14:lightRig w14:rig="threePt" w14:dir="t">
              <w14:rot w14:lat="0" w14:lon="0" w14:rev="0"/>
            </w14:lightRig>
          </w14:scene3d>
        </w:rPr>
        <w:t xml:space="preserve"> </w:t>
      </w:r>
      <w:r>
        <w:rPr>
          <w:rStyle w:val="34"/>
          <w:rFonts w:hint="eastAsia"/>
        </w:rPr>
        <w:t xml:space="preserve"> 型式检验</w:t>
      </w:r>
      <w:r>
        <w:rPr>
          <w:rFonts w:hint="eastAsia"/>
        </w:rPr>
        <w:tab/>
      </w:r>
      <w:r>
        <w:rPr>
          <w:rFonts w:hint="eastAsia"/>
        </w:rPr>
        <w:fldChar w:fldCharType="begin"/>
      </w:r>
      <w:r>
        <w:rPr>
          <w:rFonts w:hint="eastAsia"/>
        </w:rPr>
        <w:instrText xml:space="preserve"> </w:instrText>
      </w:r>
      <w:r>
        <w:instrText xml:space="preserve">PAGEREF _Toc230202000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995234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"_Toc230202001" </w:instrText>
      </w:r>
      <w:r>
        <w:fldChar w:fldCharType="separate"/>
      </w:r>
      <w:r>
        <w:rPr>
          <w:rStyle w:val="34"/>
          <w:rFonts w:hint="eastAsia"/>
          <w14:scene3d>
            <w14:lightRig w14:rig="threePt" w14:dir="t">
              <w14:rot w14:lat="0" w14:lon="0" w14:rev="0"/>
            </w14:lightRig>
          </w14:scene3d>
        </w:rPr>
        <w:t>7.4</w:t>
      </w:r>
      <w:r>
        <w:rPr>
          <w:rStyle w:val="34"/>
          <w14:scene3d>
            <w14:lightRig w14:rig="threePt" w14:dir="t">
              <w14:rot w14:lat="0" w14:lon="0" w14:rev="0"/>
            </w14:lightRig>
          </w14:scene3d>
        </w:rPr>
        <w:t xml:space="preserve"> </w:t>
      </w:r>
      <w:r>
        <w:rPr>
          <w:rStyle w:val="34"/>
          <w:rFonts w:hint="eastAsia"/>
        </w:rPr>
        <w:t xml:space="preserve"> 判定规则</w:t>
      </w:r>
      <w:r>
        <w:rPr>
          <w:rFonts w:hint="eastAsia"/>
        </w:rPr>
        <w:tab/>
      </w:r>
      <w:r>
        <w:rPr>
          <w:rFonts w:hint="eastAsia"/>
        </w:rPr>
        <w:fldChar w:fldCharType="begin"/>
      </w:r>
      <w:r>
        <w:rPr>
          <w:rFonts w:hint="eastAsia"/>
        </w:rPr>
        <w:instrText xml:space="preserve"> </w:instrText>
      </w:r>
      <w:r>
        <w:instrText xml:space="preserve">PAGEREF _Toc230202001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977976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"_Toc230202002" </w:instrText>
      </w:r>
      <w:r>
        <w:fldChar w:fldCharType="separate"/>
      </w:r>
      <w:r>
        <w:rPr>
          <w:rStyle w:val="34"/>
          <w:rFonts w:hint="eastAsia"/>
        </w:rPr>
        <w:t>8</w:t>
      </w:r>
      <w:r>
        <w:rPr>
          <w:rStyle w:val="34"/>
        </w:rPr>
        <w:t xml:space="preserve"> </w:t>
      </w:r>
      <w:r>
        <w:rPr>
          <w:rStyle w:val="34"/>
          <w:rFonts w:hint="eastAsia"/>
        </w:rPr>
        <w:t xml:space="preserve"> 标志、包装、运输及贮存</w:t>
      </w:r>
      <w:r>
        <w:rPr>
          <w:rFonts w:hint="eastAsia"/>
        </w:rPr>
        <w:tab/>
      </w:r>
      <w:r>
        <w:rPr>
          <w:rFonts w:hint="eastAsia"/>
        </w:rPr>
        <w:fldChar w:fldCharType="begin"/>
      </w:r>
      <w:r>
        <w:rPr>
          <w:rFonts w:hint="eastAsia"/>
        </w:rPr>
        <w:instrText xml:space="preserve"> </w:instrText>
      </w:r>
      <w:r>
        <w:instrText xml:space="preserve">PAGEREF _Toc230202002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BF7921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"_Toc230202003" </w:instrText>
      </w:r>
      <w:r>
        <w:fldChar w:fldCharType="separate"/>
      </w:r>
      <w:r>
        <w:rPr>
          <w:rStyle w:val="34"/>
          <w:rFonts w:hint="eastAsia"/>
          <w14:scene3d>
            <w14:lightRig w14:rig="threePt" w14:dir="t">
              <w14:rot w14:lat="0" w14:lon="0" w14:rev="0"/>
            </w14:lightRig>
          </w14:scene3d>
        </w:rPr>
        <w:t>8.1</w:t>
      </w:r>
      <w:r>
        <w:rPr>
          <w:rStyle w:val="34"/>
          <w14:scene3d>
            <w14:lightRig w14:rig="threePt" w14:dir="t">
              <w14:rot w14:lat="0" w14:lon="0" w14:rev="0"/>
            </w14:lightRig>
          </w14:scene3d>
        </w:rPr>
        <w:t xml:space="preserve"> </w:t>
      </w:r>
      <w:r>
        <w:rPr>
          <w:rStyle w:val="34"/>
          <w:rFonts w:hint="eastAsia"/>
        </w:rPr>
        <w:t xml:space="preserve"> 标志</w:t>
      </w:r>
      <w:r>
        <w:rPr>
          <w:rFonts w:hint="eastAsia"/>
        </w:rPr>
        <w:tab/>
      </w:r>
      <w:r>
        <w:rPr>
          <w:rFonts w:hint="eastAsia"/>
        </w:rPr>
        <w:fldChar w:fldCharType="begin"/>
      </w:r>
      <w:r>
        <w:rPr>
          <w:rFonts w:hint="eastAsia"/>
        </w:rPr>
        <w:instrText xml:space="preserve"> </w:instrText>
      </w:r>
      <w:r>
        <w:instrText xml:space="preserve">PAGEREF _Toc230202003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3ABA5F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"_Toc230202004" </w:instrText>
      </w:r>
      <w:r>
        <w:fldChar w:fldCharType="separate"/>
      </w:r>
      <w:r>
        <w:rPr>
          <w:rStyle w:val="34"/>
          <w:rFonts w:hint="eastAsia"/>
          <w14:scene3d>
            <w14:lightRig w14:rig="threePt" w14:dir="t">
              <w14:rot w14:lat="0" w14:lon="0" w14:rev="0"/>
            </w14:lightRig>
          </w14:scene3d>
        </w:rPr>
        <w:t>8.2</w:t>
      </w:r>
      <w:r>
        <w:rPr>
          <w:rStyle w:val="34"/>
          <w14:scene3d>
            <w14:lightRig w14:rig="threePt" w14:dir="t">
              <w14:rot w14:lat="0" w14:lon="0" w14:rev="0"/>
            </w14:lightRig>
          </w14:scene3d>
        </w:rPr>
        <w:t xml:space="preserve"> </w:t>
      </w:r>
      <w:r>
        <w:rPr>
          <w:rStyle w:val="34"/>
          <w:rFonts w:hint="eastAsia"/>
        </w:rPr>
        <w:t xml:space="preserve"> 包装</w:t>
      </w:r>
      <w:r>
        <w:rPr>
          <w:rFonts w:hint="eastAsia"/>
        </w:rPr>
        <w:tab/>
      </w:r>
      <w:r>
        <w:rPr>
          <w:rFonts w:hint="eastAsia"/>
        </w:rPr>
        <w:fldChar w:fldCharType="begin"/>
      </w:r>
      <w:r>
        <w:rPr>
          <w:rFonts w:hint="eastAsia"/>
        </w:rPr>
        <w:instrText xml:space="preserve"> </w:instrText>
      </w:r>
      <w:r>
        <w:instrText xml:space="preserve">PAGEREF _Toc230202004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B0ABE02">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"_Toc230202005" </w:instrText>
      </w:r>
      <w:r>
        <w:fldChar w:fldCharType="separate"/>
      </w:r>
      <w:r>
        <w:rPr>
          <w:rStyle w:val="34"/>
          <w:rFonts w:hint="eastAsia"/>
          <w14:scene3d>
            <w14:lightRig w14:rig="threePt" w14:dir="t">
              <w14:rot w14:lat="0" w14:lon="0" w14:rev="0"/>
            </w14:lightRig>
          </w14:scene3d>
        </w:rPr>
        <w:t>8.3</w:t>
      </w:r>
      <w:r>
        <w:rPr>
          <w:rStyle w:val="34"/>
          <w14:scene3d>
            <w14:lightRig w14:rig="threePt" w14:dir="t">
              <w14:rot w14:lat="0" w14:lon="0" w14:rev="0"/>
            </w14:lightRig>
          </w14:scene3d>
        </w:rPr>
        <w:t xml:space="preserve"> </w:t>
      </w:r>
      <w:r>
        <w:rPr>
          <w:rStyle w:val="34"/>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_Toc230202005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628454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"_Toc230202006" </w:instrText>
      </w:r>
      <w:r>
        <w:fldChar w:fldCharType="separate"/>
      </w:r>
      <w:r>
        <w:rPr>
          <w:rStyle w:val="34"/>
          <w:rFonts w:hint="eastAsia"/>
          <w14:scene3d>
            <w14:lightRig w14:rig="threePt" w14:dir="t">
              <w14:rot w14:lat="0" w14:lon="0" w14:rev="0"/>
            </w14:lightRig>
          </w14:scene3d>
        </w:rPr>
        <w:t>8.4</w:t>
      </w:r>
      <w:r>
        <w:rPr>
          <w:rStyle w:val="34"/>
          <w14:scene3d>
            <w14:lightRig w14:rig="threePt" w14:dir="t">
              <w14:rot w14:lat="0" w14:lon="0" w14:rev="0"/>
            </w14:lightRig>
          </w14:scene3d>
        </w:rPr>
        <w:t xml:space="preserve"> </w:t>
      </w:r>
      <w:r>
        <w:rPr>
          <w:rStyle w:val="34"/>
          <w:rFonts w:hint="eastAsia"/>
        </w:rPr>
        <w:t xml:space="preserve"> 贮存</w:t>
      </w:r>
      <w:r>
        <w:rPr>
          <w:rFonts w:hint="eastAsia"/>
        </w:rPr>
        <w:tab/>
      </w:r>
      <w:r>
        <w:rPr>
          <w:rFonts w:hint="eastAsia"/>
        </w:rPr>
        <w:fldChar w:fldCharType="begin"/>
      </w:r>
      <w:r>
        <w:rPr>
          <w:rFonts w:hint="eastAsia"/>
        </w:rPr>
        <w:instrText xml:space="preserve"> </w:instrText>
      </w:r>
      <w:r>
        <w:instrText xml:space="preserve">PAGEREF _Toc230202006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1F71DBF">
      <w:pPr>
        <w:pStyle w:val="94"/>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9"/>
    <w:p w14:paraId="203CF783">
      <w:pPr>
        <w:pStyle w:val="92"/>
        <w:spacing w:before="560" w:after="360"/>
      </w:pPr>
      <w:bookmarkStart w:id="22" w:name="_Toc230201973"/>
      <w:bookmarkStart w:id="23" w:name="BookMark2"/>
      <w:r>
        <w:rPr>
          <w:rFonts w:hint="eastAsia"/>
          <w:spacing w:val="320"/>
        </w:rPr>
        <w:t>前</w:t>
      </w:r>
      <w:r>
        <w:rPr>
          <w:rFonts w:hint="eastAsia"/>
        </w:rPr>
        <w:t>言</w:t>
      </w:r>
      <w:bookmarkEnd w:id="20"/>
      <w:bookmarkEnd w:id="21"/>
      <w:bookmarkEnd w:id="22"/>
    </w:p>
    <w:p w14:paraId="5DF02F3C">
      <w:pPr>
        <w:pStyle w:val="59"/>
        <w:ind w:firstLine="420"/>
      </w:pPr>
      <w:r>
        <w:rPr>
          <w:rFonts w:hint="eastAsia"/>
        </w:rPr>
        <w:t>本文件按照</w:t>
      </w:r>
      <w:r>
        <w:t>GB/T 1.1—2020</w:t>
      </w:r>
      <w:r>
        <w:rPr>
          <w:rFonts w:hint="eastAsia"/>
        </w:rPr>
        <w:t>《标准化工作导则  第1部分：标准化文件的结构和起草规则》的规定起草。</w:t>
      </w:r>
    </w:p>
    <w:p w14:paraId="6250F80C">
      <w:pPr>
        <w:pStyle w:val="59"/>
        <w:ind w:firstLine="420"/>
      </w:pPr>
      <w:r>
        <w:rPr>
          <w:rFonts w:hint="eastAsia"/>
        </w:rPr>
        <w:t>本文件由宁夏天地奔牛实业集团有限公司提出。</w:t>
      </w:r>
    </w:p>
    <w:p w14:paraId="5748C9BC">
      <w:pPr>
        <w:pStyle w:val="59"/>
        <w:ind w:firstLine="420"/>
      </w:pPr>
      <w:r>
        <w:rPr>
          <w:rFonts w:hint="eastAsia"/>
        </w:rPr>
        <w:t>本文件由宁夏机械工程学会归口。</w:t>
      </w:r>
    </w:p>
    <w:p w14:paraId="1E702849">
      <w:pPr>
        <w:pStyle w:val="59"/>
        <w:ind w:firstLine="420"/>
      </w:pPr>
      <w:r>
        <w:rPr>
          <w:rFonts w:hint="eastAsia"/>
        </w:rPr>
        <w:t>本文件起草单位：宁夏天地奔牛实业集团有限公司、宁夏天地奔牛链条有限公司、宁夏天地奔牛传动科技有限公司。</w:t>
      </w:r>
    </w:p>
    <w:p w14:paraId="4FC63D14">
      <w:pPr>
        <w:pStyle w:val="59"/>
        <w:ind w:firstLine="420"/>
      </w:pPr>
      <w:r>
        <w:rPr>
          <w:rFonts w:hint="eastAsia"/>
        </w:rPr>
        <w:t>本文件主要起草人：</w:t>
      </w:r>
      <w:r>
        <w:rPr>
          <w:rFonts w:hint="eastAsia" w:ascii="宋体" w:hAnsi="宋体" w:eastAsia="宋体"/>
          <w:color w:val="auto"/>
          <w:sz w:val="24"/>
          <w:szCs w:val="24"/>
        </w:rPr>
        <w:t>孙星、</w:t>
      </w:r>
      <w:r>
        <w:rPr>
          <w:rFonts w:hint="eastAsia" w:ascii="宋体" w:hAnsi="宋体" w:eastAsia="宋体"/>
          <w:color w:val="auto"/>
          <w:sz w:val="24"/>
          <w:szCs w:val="24"/>
          <w:lang w:val="en-US" w:eastAsia="zh-CN"/>
        </w:rPr>
        <w:t>李洋</w:t>
      </w:r>
      <w:r>
        <w:rPr>
          <w:rFonts w:hint="eastAsia" w:ascii="宋体" w:hAnsi="宋体" w:eastAsia="宋体"/>
          <w:color w:val="auto"/>
          <w:sz w:val="24"/>
          <w:szCs w:val="24"/>
        </w:rPr>
        <w:t>、</w:t>
      </w:r>
      <w:r>
        <w:rPr>
          <w:rFonts w:hint="eastAsia" w:ascii="宋体" w:hAnsi="宋体" w:eastAsia="宋体"/>
          <w:color w:val="auto"/>
          <w:sz w:val="24"/>
          <w:szCs w:val="24"/>
          <w:lang w:val="en-US" w:eastAsia="zh-CN"/>
        </w:rPr>
        <w:t>李俊源</w:t>
      </w:r>
      <w:r>
        <w:rPr>
          <w:rFonts w:hint="eastAsia" w:ascii="宋体" w:hAnsi="宋体" w:eastAsia="宋体"/>
          <w:color w:val="auto"/>
          <w:sz w:val="24"/>
          <w:szCs w:val="24"/>
        </w:rPr>
        <w:t>、</w:t>
      </w:r>
      <w:r>
        <w:rPr>
          <w:rFonts w:hint="eastAsia" w:ascii="宋体" w:hAnsi="宋体" w:eastAsia="宋体"/>
          <w:color w:val="auto"/>
          <w:sz w:val="24"/>
          <w:szCs w:val="24"/>
          <w:lang w:val="en-US" w:eastAsia="zh-CN"/>
        </w:rPr>
        <w:t>刘震、谢森琪、</w:t>
      </w:r>
      <w:r>
        <w:rPr>
          <w:rFonts w:hint="eastAsia" w:ascii="宋体" w:hAnsi="宋体" w:eastAsia="宋体"/>
          <w:color w:val="auto"/>
          <w:sz w:val="24"/>
          <w:szCs w:val="24"/>
        </w:rPr>
        <w:t>田彬宜、刘金有、卜侃侃、</w:t>
      </w:r>
      <w:r>
        <w:rPr>
          <w:rFonts w:hint="eastAsia" w:ascii="宋体" w:hAnsi="宋体" w:eastAsia="宋体"/>
          <w:color w:val="auto"/>
          <w:sz w:val="24"/>
          <w:szCs w:val="24"/>
          <w:lang w:val="en-US" w:eastAsia="zh-CN"/>
        </w:rPr>
        <w:t>孔进、任园、李安宁、</w:t>
      </w:r>
      <w:r>
        <w:rPr>
          <w:rFonts w:hint="eastAsia" w:ascii="宋体" w:hAnsi="宋体" w:eastAsia="宋体"/>
          <w:color w:val="auto"/>
          <w:sz w:val="24"/>
          <w:szCs w:val="24"/>
        </w:rPr>
        <w:t>张庭利、张鹏、白海麟、胡万飞、高钰豪、周健、马毓敏、王彩君、巩文、贾永玲。</w:t>
      </w:r>
      <w:bookmarkStart w:id="151" w:name="_GoBack"/>
      <w:bookmarkEnd w:id="151"/>
    </w:p>
    <w:p w14:paraId="032209D4">
      <w:pPr>
        <w:pStyle w:val="59"/>
        <w:ind w:firstLine="420"/>
      </w:pPr>
    </w:p>
    <w:p w14:paraId="4BDFAA29">
      <w:pPr>
        <w:pStyle w:val="59"/>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5E8FBDD0">
      <w:pPr>
        <w:spacing w:line="20" w:lineRule="exact"/>
        <w:jc w:val="center"/>
        <w:rPr>
          <w:rFonts w:hint="eastAsia" w:ascii="黑体" w:hAnsi="黑体" w:eastAsia="黑体"/>
          <w:sz w:val="32"/>
          <w:szCs w:val="32"/>
        </w:rPr>
      </w:pPr>
      <w:bookmarkStart w:id="24" w:name="BookMark4"/>
    </w:p>
    <w:p w14:paraId="4B71BA04">
      <w:pPr>
        <w:spacing w:line="20" w:lineRule="exact"/>
        <w:jc w:val="center"/>
        <w:rPr>
          <w:rFonts w:hint="eastAsia" w:ascii="黑体" w:hAnsi="黑体" w:eastAsia="黑体"/>
          <w:sz w:val="32"/>
          <w:szCs w:val="32"/>
        </w:rPr>
      </w:pPr>
    </w:p>
    <w:sdt>
      <w:sdtPr>
        <w:tag w:val="NEW_STAND_NAME"/>
        <w:id w:val="595910757"/>
        <w:lock w:val="sdtLocked"/>
        <w:placeholder>
          <w:docPart w:val="692133CCE31D48CE978B6657E432C770"/>
        </w:placeholder>
      </w:sdtPr>
      <w:sdtContent>
        <w:p w14:paraId="64FA030B">
          <w:pPr>
            <w:pStyle w:val="180"/>
            <w:spacing w:before="2" w:beforeLines="1" w:after="528" w:afterLines="220"/>
            <w:rPr>
              <w:rFonts w:hint="eastAsia"/>
            </w:rPr>
          </w:pPr>
          <w:bookmarkStart w:id="25" w:name="NEW_STAND_NAME"/>
          <w:r>
            <w:rPr>
              <w:rFonts w:hint="eastAsia"/>
            </w:rPr>
            <w:t>矿用刮板输送机断链监测装置</w:t>
          </w:r>
        </w:p>
      </w:sdtContent>
    </w:sdt>
    <w:bookmarkEnd w:id="25"/>
    <w:p w14:paraId="6653A3CC">
      <w:pPr>
        <w:pStyle w:val="107"/>
        <w:spacing w:before="240" w:after="240"/>
      </w:pPr>
      <w:bookmarkStart w:id="26" w:name="_Toc26648465"/>
      <w:bookmarkStart w:id="27" w:name="_Toc24884211"/>
      <w:bookmarkStart w:id="28" w:name="_Toc230201903"/>
      <w:bookmarkStart w:id="29" w:name="_Toc26986771"/>
      <w:bookmarkStart w:id="30" w:name="_Toc17233333"/>
      <w:bookmarkStart w:id="31" w:name="_Toc26718930"/>
      <w:bookmarkStart w:id="32" w:name="_Toc230201937"/>
      <w:bookmarkStart w:id="33" w:name="_Toc97192964"/>
      <w:bookmarkStart w:id="34" w:name="_Toc230201974"/>
      <w:bookmarkStart w:id="35" w:name="_Toc24884218"/>
      <w:bookmarkStart w:id="36" w:name="_Toc26986530"/>
      <w:bookmarkStart w:id="37" w:name="_Toc172333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14:paraId="31BFAB0B">
      <w:pPr>
        <w:pStyle w:val="59"/>
        <w:ind w:firstLine="420"/>
      </w:pPr>
      <w:bookmarkStart w:id="38" w:name="_Toc24884212"/>
      <w:bookmarkStart w:id="39" w:name="_Toc24884219"/>
      <w:bookmarkStart w:id="40" w:name="_Toc17233334"/>
      <w:bookmarkStart w:id="41" w:name="_Toc26648466"/>
      <w:bookmarkStart w:id="42" w:name="_Toc17233326"/>
      <w:r>
        <w:rPr>
          <w:rFonts w:hint="eastAsia"/>
        </w:rPr>
        <w:t>本文件规定了矿用刮板输送机断链监测装置的型式、技术要求、试验方法、检验规则、标志、包装、运输和贮存。</w:t>
      </w:r>
    </w:p>
    <w:p w14:paraId="211187FC">
      <w:pPr>
        <w:pStyle w:val="59"/>
        <w:ind w:firstLine="420"/>
        <w:rPr>
          <w:highlight w:val="yellow"/>
        </w:rPr>
      </w:pPr>
      <w:r>
        <w:rPr>
          <w:rFonts w:hint="eastAsia"/>
        </w:rPr>
        <w:t>本文件适用于矿用刮板输送机及转载机断链监测装置（以下简称“监测装置”）的设计、制造与验收。</w:t>
      </w:r>
    </w:p>
    <w:p w14:paraId="389A90DC">
      <w:pPr>
        <w:pStyle w:val="107"/>
        <w:spacing w:before="240" w:after="240"/>
      </w:pPr>
      <w:bookmarkStart w:id="43" w:name="_Toc230201904"/>
      <w:bookmarkStart w:id="44" w:name="_Toc230201938"/>
      <w:bookmarkStart w:id="45" w:name="_Toc26986531"/>
      <w:bookmarkStart w:id="46" w:name="_Toc26718931"/>
      <w:bookmarkStart w:id="47" w:name="_Toc230201975"/>
      <w:bookmarkStart w:id="48" w:name="_Toc97192965"/>
      <w:bookmarkStart w:id="49" w:name="_Toc26986772"/>
      <w:r>
        <w:rPr>
          <w:rFonts w:hint="eastAsia"/>
        </w:rPr>
        <w:t>规范性引用文</w:t>
      </w:r>
      <w:bookmarkEnd w:id="38"/>
      <w:bookmarkEnd w:id="39"/>
      <w:bookmarkEnd w:id="40"/>
      <w:bookmarkEnd w:id="41"/>
      <w:bookmarkEnd w:id="42"/>
      <w:bookmarkEnd w:id="43"/>
      <w:bookmarkEnd w:id="44"/>
      <w:bookmarkEnd w:id="45"/>
      <w:bookmarkEnd w:id="46"/>
      <w:bookmarkEnd w:id="47"/>
      <w:bookmarkEnd w:id="48"/>
      <w:bookmarkEnd w:id="49"/>
      <w:r>
        <w:rPr>
          <w:rFonts w:hint="eastAsia"/>
        </w:rPr>
        <w:t>件</w:t>
      </w:r>
    </w:p>
    <w:sdt>
      <w:sdtPr>
        <w:rPr>
          <w:rFonts w:hint="eastAsia"/>
        </w:rPr>
        <w:id w:val="715848253"/>
        <w:placeholder>
          <w:docPart w:val="5E993AC8B8084682AADB48B5897981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CB4183F">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12F7F0">
      <w:pPr>
        <w:pStyle w:val="59"/>
        <w:ind w:firstLine="420"/>
        <w:rPr>
          <w:rFonts w:hint="eastAsia" w:ascii="宋体" w:hAnsi="宋体" w:cs="宋体"/>
        </w:rPr>
      </w:pPr>
      <w:r>
        <w:rPr>
          <w:rFonts w:hint="eastAsia" w:ascii="宋体" w:hAnsi="宋体" w:cs="宋体"/>
        </w:rPr>
        <w:t>GB/T 191  包装储运图示标志</w:t>
      </w:r>
    </w:p>
    <w:p w14:paraId="26BE7DDE">
      <w:pPr>
        <w:pStyle w:val="59"/>
        <w:ind w:firstLine="420"/>
        <w:rPr>
          <w:rFonts w:hint="eastAsia" w:ascii="宋体" w:hAnsi="宋体" w:cs="宋体"/>
        </w:rPr>
      </w:pPr>
      <w:r>
        <w:rPr>
          <w:rFonts w:hint="eastAsia" w:ascii="宋体" w:hAnsi="宋体" w:cs="宋体"/>
        </w:rPr>
        <w:t>GB/T 3836.1  爆炸性环境  第1部分:设备 通用要求</w:t>
      </w:r>
    </w:p>
    <w:p w14:paraId="74EF72A8">
      <w:pPr>
        <w:pStyle w:val="59"/>
        <w:ind w:firstLine="420"/>
        <w:rPr>
          <w:rFonts w:hint="eastAsia" w:ascii="宋体" w:hAnsi="宋体" w:cs="宋体"/>
          <w:color w:val="FF0000"/>
        </w:rPr>
      </w:pPr>
      <w:r>
        <w:rPr>
          <w:rFonts w:hint="eastAsia" w:ascii="宋体" w:hAnsi="宋体" w:cs="宋体"/>
        </w:rPr>
        <w:t>GB/T 3836.2  爆炸性环境  第2部分:由隔爆外壳“d”保护的设备</w:t>
      </w:r>
    </w:p>
    <w:p w14:paraId="210E7C09">
      <w:pPr>
        <w:pStyle w:val="59"/>
        <w:ind w:firstLine="420"/>
        <w:rPr>
          <w:rFonts w:hint="eastAsia" w:ascii="宋体" w:hAnsi="宋体" w:cs="宋体"/>
        </w:rPr>
      </w:pPr>
      <w:r>
        <w:rPr>
          <w:rFonts w:hint="eastAsia" w:ascii="宋体" w:hAnsi="宋体" w:cs="宋体"/>
        </w:rPr>
        <w:t>GB/T 3836.4  爆炸性环境  第4部分:由本质安全型“i”保护的设备</w:t>
      </w:r>
    </w:p>
    <w:p w14:paraId="43B9396A">
      <w:pPr>
        <w:pStyle w:val="59"/>
        <w:ind w:firstLine="420"/>
        <w:rPr>
          <w:rFonts w:hint="eastAsia" w:ascii="宋体" w:hAnsi="宋体" w:cs="宋体"/>
        </w:rPr>
      </w:pPr>
      <w:r>
        <w:rPr>
          <w:rFonts w:hint="eastAsia" w:ascii="宋体" w:hAnsi="宋体" w:cs="宋体"/>
        </w:rPr>
        <w:t>GB/T 10111  随机数的产生及其在产品质量抽样检验中的应用程序</w:t>
      </w:r>
    </w:p>
    <w:p w14:paraId="33DC70AC">
      <w:pPr>
        <w:pStyle w:val="59"/>
        <w:ind w:firstLine="420"/>
        <w:rPr>
          <w:rFonts w:hint="eastAsia" w:ascii="宋体" w:hAnsi="宋体" w:cs="宋体"/>
        </w:rPr>
      </w:pPr>
      <w:r>
        <w:rPr>
          <w:rFonts w:hint="eastAsia" w:ascii="宋体" w:hAnsi="宋体" w:cs="宋体"/>
        </w:rPr>
        <w:t>GB/T 13384  机电产品包装通用技术条件</w:t>
      </w:r>
    </w:p>
    <w:p w14:paraId="2ADB562B">
      <w:pPr>
        <w:pStyle w:val="59"/>
        <w:ind w:firstLine="420"/>
        <w:rPr>
          <w:rFonts w:hint="eastAsia" w:ascii="宋体" w:hAnsi="宋体" w:cs="宋体"/>
        </w:rPr>
      </w:pPr>
      <w:r>
        <w:rPr>
          <w:rFonts w:hint="eastAsia" w:ascii="宋体" w:hAnsi="宋体" w:cs="宋体"/>
        </w:rPr>
        <w:t>AQ 1043  矿用产品安全标志标识</w:t>
      </w:r>
    </w:p>
    <w:p w14:paraId="3B8587BD">
      <w:pPr>
        <w:pStyle w:val="59"/>
        <w:ind w:firstLine="420"/>
        <w:rPr>
          <w:rFonts w:hint="eastAsia" w:ascii="宋体" w:hAnsi="宋体" w:cs="宋体"/>
        </w:rPr>
      </w:pPr>
      <w:r>
        <w:rPr>
          <w:rFonts w:hint="eastAsia" w:ascii="宋体" w:hAnsi="宋体" w:cs="宋体"/>
          <w:lang w:val="fr-FR"/>
        </w:rPr>
        <w:t>MT/T 154.2  煤矿机电产品型号编制方法和管理办法</w:t>
      </w:r>
    </w:p>
    <w:p w14:paraId="0CB52884">
      <w:pPr>
        <w:pStyle w:val="59"/>
        <w:ind w:firstLine="420"/>
        <w:rPr>
          <w:rFonts w:hint="eastAsia" w:ascii="宋体" w:hAnsi="宋体" w:cs="宋体"/>
        </w:rPr>
      </w:pPr>
      <w:r>
        <w:rPr>
          <w:rFonts w:hint="eastAsia" w:ascii="宋体" w:hAnsi="宋体" w:cs="宋体"/>
        </w:rPr>
        <w:t>MT 209  煤矿通信、检测、控制用电工电子产品通用技术要求</w:t>
      </w:r>
    </w:p>
    <w:p w14:paraId="1CE0150A">
      <w:pPr>
        <w:pStyle w:val="59"/>
        <w:ind w:firstLine="420"/>
        <w:rPr>
          <w:rFonts w:hint="eastAsia" w:ascii="宋体" w:hAnsi="宋体" w:cs="宋体"/>
        </w:rPr>
      </w:pPr>
      <w:r>
        <w:rPr>
          <w:rFonts w:hint="eastAsia" w:ascii="宋体" w:hAnsi="宋体" w:cs="宋体"/>
        </w:rPr>
        <w:t>MT 210  煤矿通信、检测、控制用电工电子产品基本试验方法</w:t>
      </w:r>
    </w:p>
    <w:p w14:paraId="5B93E63D">
      <w:pPr>
        <w:pStyle w:val="107"/>
        <w:spacing w:before="240" w:after="240"/>
      </w:pPr>
      <w:bookmarkStart w:id="50" w:name="_Toc230201939"/>
      <w:bookmarkStart w:id="51" w:name="_Toc230201976"/>
      <w:bookmarkStart w:id="52" w:name="_Toc97192966"/>
      <w:bookmarkStart w:id="53" w:name="_Toc230201905"/>
      <w:r>
        <w:rPr>
          <w:rFonts w:hint="eastAsia"/>
        </w:rPr>
        <w:t>术语和定义</w:t>
      </w:r>
      <w:bookmarkEnd w:id="50"/>
      <w:bookmarkEnd w:id="51"/>
      <w:bookmarkEnd w:id="52"/>
      <w:bookmarkEnd w:id="53"/>
    </w:p>
    <w:sdt>
      <w:sdtPr>
        <w:id w:val="-1909835108"/>
        <w:placeholder>
          <w:docPart w:val="58EFABABD88844DAA8BEB60BEA8786E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F4A88C">
          <w:pPr>
            <w:pStyle w:val="59"/>
            <w:ind w:firstLine="420"/>
          </w:pPr>
          <w:bookmarkStart w:id="54" w:name="_Toc26986532"/>
          <w:bookmarkEnd w:id="54"/>
          <w:r>
            <w:t>本文件没有需要界定的术语和定义。</w:t>
          </w:r>
        </w:p>
      </w:sdtContent>
    </w:sdt>
    <w:p w14:paraId="6BF2DC65">
      <w:pPr>
        <w:pStyle w:val="107"/>
        <w:spacing w:before="240" w:after="240"/>
      </w:pPr>
      <w:bookmarkStart w:id="55" w:name="_Toc230201940"/>
      <w:bookmarkStart w:id="56" w:name="_Toc230201906"/>
      <w:bookmarkStart w:id="57" w:name="_Toc230201977"/>
      <w:r>
        <w:rPr>
          <w:rFonts w:hint="eastAsia"/>
        </w:rPr>
        <w:t>产品型式</w:t>
      </w:r>
      <w:bookmarkEnd w:id="55"/>
      <w:bookmarkEnd w:id="56"/>
      <w:bookmarkEnd w:id="57"/>
    </w:p>
    <w:p w14:paraId="5EFE1137">
      <w:pPr>
        <w:pStyle w:val="108"/>
        <w:spacing w:before="120" w:after="120"/>
      </w:pPr>
      <w:bookmarkStart w:id="58" w:name="_Toc230201941"/>
      <w:bookmarkStart w:id="59" w:name="_Toc230201978"/>
      <w:bookmarkStart w:id="60" w:name="_Toc230201907"/>
      <w:r>
        <w:rPr>
          <w:rFonts w:hint="eastAsia"/>
        </w:rPr>
        <w:t>产品型号</w:t>
      </w:r>
      <w:bookmarkEnd w:id="58"/>
      <w:bookmarkEnd w:id="59"/>
      <w:bookmarkEnd w:id="60"/>
    </w:p>
    <w:tbl>
      <w:tblPr>
        <w:tblStyle w:val="28"/>
        <w:tblW w:w="6186" w:type="dxa"/>
        <w:jc w:val="center"/>
        <w:tblLayout w:type="autofit"/>
        <w:tblCellMar>
          <w:top w:w="0" w:type="dxa"/>
          <w:left w:w="108" w:type="dxa"/>
          <w:bottom w:w="0" w:type="dxa"/>
          <w:right w:w="108" w:type="dxa"/>
        </w:tblCellMar>
      </w:tblPr>
      <w:tblGrid>
        <w:gridCol w:w="255"/>
        <w:gridCol w:w="254"/>
        <w:gridCol w:w="236"/>
        <w:gridCol w:w="222"/>
        <w:gridCol w:w="222"/>
        <w:gridCol w:w="234"/>
        <w:gridCol w:w="258"/>
        <w:gridCol w:w="259"/>
        <w:gridCol w:w="236"/>
        <w:gridCol w:w="259"/>
        <w:gridCol w:w="277"/>
        <w:gridCol w:w="99"/>
        <w:gridCol w:w="123"/>
        <w:gridCol w:w="302"/>
        <w:gridCol w:w="283"/>
        <w:gridCol w:w="2667"/>
      </w:tblGrid>
      <w:tr w14:paraId="21074067">
        <w:tblPrEx>
          <w:tblCellMar>
            <w:top w:w="0" w:type="dxa"/>
            <w:left w:w="108" w:type="dxa"/>
            <w:bottom w:w="0" w:type="dxa"/>
            <w:right w:w="108" w:type="dxa"/>
          </w:tblCellMar>
        </w:tblPrEx>
        <w:trPr>
          <w:trHeight w:val="170" w:hRule="exact"/>
          <w:jc w:val="center"/>
        </w:trPr>
        <w:tc>
          <w:tcPr>
            <w:tcW w:w="509" w:type="dxa"/>
            <w:gridSpan w:val="2"/>
            <w:vMerge w:val="restart"/>
            <w:tcBorders>
              <w:bottom w:val="single" w:color="auto" w:sz="4" w:space="0"/>
            </w:tcBorders>
            <w:noWrap/>
            <w:vAlign w:val="bottom"/>
          </w:tcPr>
          <w:p w14:paraId="53E75501">
            <w:pPr>
              <w:widowControl/>
              <w:jc w:val="center"/>
              <w:rPr>
                <w:rFonts w:hint="eastAsia" w:ascii="宋体" w:hAnsi="宋体"/>
                <w:kern w:val="0"/>
              </w:rPr>
            </w:pPr>
            <w:r>
              <w:rPr>
                <w:rFonts w:hint="eastAsia" w:ascii="宋体" w:hAnsi="宋体"/>
                <w:kern w:val="0"/>
              </w:rPr>
              <w:t>Z</w:t>
            </w:r>
          </w:p>
        </w:tc>
        <w:tc>
          <w:tcPr>
            <w:tcW w:w="236" w:type="dxa"/>
            <w:noWrap/>
            <w:vAlign w:val="bottom"/>
          </w:tcPr>
          <w:p w14:paraId="6CB4E206">
            <w:pPr>
              <w:widowControl/>
              <w:jc w:val="center"/>
              <w:rPr>
                <w:rFonts w:hint="eastAsia" w:ascii="宋体" w:hAnsi="宋体"/>
                <w:kern w:val="0"/>
              </w:rPr>
            </w:pPr>
          </w:p>
        </w:tc>
        <w:tc>
          <w:tcPr>
            <w:tcW w:w="444" w:type="dxa"/>
            <w:gridSpan w:val="2"/>
            <w:vMerge w:val="restart"/>
            <w:tcBorders>
              <w:bottom w:val="single" w:color="auto" w:sz="4" w:space="0"/>
            </w:tcBorders>
            <w:vAlign w:val="bottom"/>
          </w:tcPr>
          <w:p w14:paraId="724FF823">
            <w:pPr>
              <w:widowControl/>
              <w:jc w:val="center"/>
              <w:rPr>
                <w:rFonts w:hint="eastAsia" w:ascii="宋体" w:hAnsi="宋体"/>
                <w:kern w:val="0"/>
              </w:rPr>
            </w:pPr>
            <w:r>
              <w:rPr>
                <w:rFonts w:hint="eastAsia" w:ascii="宋体" w:hAnsi="宋体"/>
                <w:kern w:val="0"/>
              </w:rPr>
              <w:t>D</w:t>
            </w:r>
          </w:p>
        </w:tc>
        <w:tc>
          <w:tcPr>
            <w:tcW w:w="234" w:type="dxa"/>
            <w:vAlign w:val="bottom"/>
          </w:tcPr>
          <w:p w14:paraId="00EF4F94">
            <w:pPr>
              <w:widowControl/>
              <w:jc w:val="center"/>
              <w:rPr>
                <w:rFonts w:hint="eastAsia" w:ascii="宋体" w:hAnsi="宋体"/>
                <w:kern w:val="0"/>
              </w:rPr>
            </w:pPr>
          </w:p>
        </w:tc>
        <w:tc>
          <w:tcPr>
            <w:tcW w:w="517" w:type="dxa"/>
            <w:gridSpan w:val="2"/>
            <w:vMerge w:val="restart"/>
            <w:tcBorders>
              <w:bottom w:val="single" w:color="auto" w:sz="4" w:space="0"/>
            </w:tcBorders>
            <w:noWrap/>
            <w:vAlign w:val="bottom"/>
          </w:tcPr>
          <w:p w14:paraId="77CC93CA">
            <w:pPr>
              <w:widowControl/>
              <w:jc w:val="center"/>
              <w:rPr>
                <w:rFonts w:hint="eastAsia" w:ascii="宋体" w:hAnsi="宋体"/>
                <w:kern w:val="0"/>
              </w:rPr>
            </w:pPr>
            <w:r>
              <w:rPr>
                <w:rFonts w:hint="eastAsia" w:ascii="宋体" w:hAnsi="宋体"/>
                <w:kern w:val="0"/>
              </w:rPr>
              <w:t>J</w:t>
            </w:r>
          </w:p>
        </w:tc>
        <w:tc>
          <w:tcPr>
            <w:tcW w:w="236" w:type="dxa"/>
            <w:noWrap/>
            <w:vAlign w:val="bottom"/>
          </w:tcPr>
          <w:p w14:paraId="7E4EA0F8">
            <w:pPr>
              <w:widowControl/>
              <w:jc w:val="center"/>
              <w:rPr>
                <w:rFonts w:hint="eastAsia" w:ascii="宋体" w:hAnsi="宋体"/>
                <w:kern w:val="0"/>
              </w:rPr>
            </w:pPr>
          </w:p>
        </w:tc>
        <w:tc>
          <w:tcPr>
            <w:tcW w:w="536" w:type="dxa"/>
            <w:gridSpan w:val="2"/>
            <w:vMerge w:val="restart"/>
            <w:tcBorders>
              <w:bottom w:val="single" w:color="auto" w:sz="4" w:space="0"/>
            </w:tcBorders>
            <w:noWrap/>
            <w:vAlign w:val="bottom"/>
          </w:tcPr>
          <w:p w14:paraId="298247C0">
            <w:pPr>
              <w:widowControl/>
              <w:jc w:val="center"/>
              <w:rPr>
                <w:rFonts w:hint="eastAsia" w:ascii="宋体" w:hAnsi="宋体"/>
                <w:kern w:val="0"/>
              </w:rPr>
            </w:pPr>
            <w:r>
              <w:rPr>
                <w:rFonts w:hint="eastAsia" w:ascii="宋体" w:hAnsi="宋体"/>
                <w:kern w:val="0"/>
              </w:rPr>
              <w:t>127</w:t>
            </w:r>
          </w:p>
        </w:tc>
        <w:tc>
          <w:tcPr>
            <w:tcW w:w="222" w:type="dxa"/>
            <w:gridSpan w:val="2"/>
          </w:tcPr>
          <w:p w14:paraId="06075BC2">
            <w:pPr>
              <w:widowControl/>
              <w:jc w:val="center"/>
              <w:rPr>
                <w:rFonts w:hint="eastAsia" w:ascii="宋体" w:hAnsi="宋体"/>
                <w:kern w:val="0"/>
              </w:rPr>
            </w:pPr>
          </w:p>
        </w:tc>
        <w:tc>
          <w:tcPr>
            <w:tcW w:w="585" w:type="dxa"/>
            <w:gridSpan w:val="2"/>
            <w:vMerge w:val="restart"/>
            <w:noWrap/>
            <w:vAlign w:val="bottom"/>
          </w:tcPr>
          <w:p w14:paraId="6357CE22">
            <w:pPr>
              <w:widowControl/>
              <w:jc w:val="center"/>
              <w:rPr>
                <w:rFonts w:hint="eastAsia" w:ascii="宋体" w:hAnsi="宋体"/>
                <w:kern w:val="0"/>
              </w:rPr>
            </w:pPr>
          </w:p>
        </w:tc>
        <w:tc>
          <w:tcPr>
            <w:tcW w:w="2667" w:type="dxa"/>
          </w:tcPr>
          <w:p w14:paraId="3A8BD215">
            <w:pPr>
              <w:widowControl/>
              <w:rPr>
                <w:rFonts w:hint="eastAsia" w:ascii="宋体" w:hAnsi="宋体"/>
                <w:kern w:val="0"/>
              </w:rPr>
            </w:pPr>
          </w:p>
        </w:tc>
      </w:tr>
      <w:tr w14:paraId="5F677A82">
        <w:tblPrEx>
          <w:tblCellMar>
            <w:top w:w="0" w:type="dxa"/>
            <w:left w:w="108" w:type="dxa"/>
            <w:bottom w:w="0" w:type="dxa"/>
            <w:right w:w="108" w:type="dxa"/>
          </w:tblCellMar>
        </w:tblPrEx>
        <w:trPr>
          <w:trHeight w:val="170" w:hRule="exact"/>
          <w:jc w:val="center"/>
        </w:trPr>
        <w:tc>
          <w:tcPr>
            <w:tcW w:w="509" w:type="dxa"/>
            <w:gridSpan w:val="2"/>
            <w:vMerge w:val="continue"/>
            <w:tcBorders>
              <w:bottom w:val="single" w:color="auto" w:sz="4" w:space="0"/>
            </w:tcBorders>
            <w:noWrap/>
            <w:vAlign w:val="center"/>
          </w:tcPr>
          <w:p w14:paraId="2E3E81EA"/>
        </w:tc>
        <w:tc>
          <w:tcPr>
            <w:tcW w:w="236" w:type="dxa"/>
            <w:noWrap/>
            <w:vAlign w:val="center"/>
          </w:tcPr>
          <w:p w14:paraId="2F0AC753">
            <w:pPr>
              <w:widowControl/>
              <w:jc w:val="center"/>
              <w:rPr>
                <w:kern w:val="0"/>
                <w:sz w:val="24"/>
              </w:rPr>
            </w:pPr>
          </w:p>
        </w:tc>
        <w:tc>
          <w:tcPr>
            <w:tcW w:w="444" w:type="dxa"/>
            <w:gridSpan w:val="2"/>
            <w:vMerge w:val="continue"/>
            <w:tcBorders>
              <w:bottom w:val="single" w:color="auto" w:sz="4" w:space="0"/>
            </w:tcBorders>
            <w:vAlign w:val="center"/>
          </w:tcPr>
          <w:p w14:paraId="4B8D8269"/>
        </w:tc>
        <w:tc>
          <w:tcPr>
            <w:tcW w:w="234" w:type="dxa"/>
            <w:vAlign w:val="center"/>
          </w:tcPr>
          <w:p w14:paraId="0ED0C605">
            <w:pPr>
              <w:widowControl/>
              <w:jc w:val="center"/>
              <w:rPr>
                <w:kern w:val="0"/>
                <w:sz w:val="24"/>
              </w:rPr>
            </w:pPr>
          </w:p>
        </w:tc>
        <w:tc>
          <w:tcPr>
            <w:tcW w:w="517" w:type="dxa"/>
            <w:gridSpan w:val="2"/>
            <w:vMerge w:val="continue"/>
            <w:tcBorders>
              <w:bottom w:val="single" w:color="auto" w:sz="4" w:space="0"/>
            </w:tcBorders>
            <w:noWrap/>
            <w:vAlign w:val="center"/>
          </w:tcPr>
          <w:p w14:paraId="7A49796A"/>
        </w:tc>
        <w:tc>
          <w:tcPr>
            <w:tcW w:w="236" w:type="dxa"/>
            <w:noWrap/>
            <w:vAlign w:val="center"/>
          </w:tcPr>
          <w:p w14:paraId="6FC3E246">
            <w:pPr>
              <w:widowControl/>
              <w:jc w:val="center"/>
              <w:rPr>
                <w:kern w:val="0"/>
                <w:sz w:val="24"/>
              </w:rPr>
            </w:pPr>
          </w:p>
        </w:tc>
        <w:tc>
          <w:tcPr>
            <w:tcW w:w="536" w:type="dxa"/>
            <w:gridSpan w:val="2"/>
            <w:vMerge w:val="continue"/>
            <w:tcBorders>
              <w:bottom w:val="single" w:color="auto" w:sz="4" w:space="0"/>
            </w:tcBorders>
            <w:noWrap/>
            <w:vAlign w:val="center"/>
          </w:tcPr>
          <w:p w14:paraId="48CC808E"/>
        </w:tc>
        <w:tc>
          <w:tcPr>
            <w:tcW w:w="222" w:type="dxa"/>
            <w:gridSpan w:val="2"/>
          </w:tcPr>
          <w:p w14:paraId="686C9B6E">
            <w:pPr>
              <w:widowControl/>
              <w:jc w:val="center"/>
              <w:rPr>
                <w:kern w:val="0"/>
                <w:sz w:val="24"/>
              </w:rPr>
            </w:pPr>
          </w:p>
        </w:tc>
        <w:tc>
          <w:tcPr>
            <w:tcW w:w="585" w:type="dxa"/>
            <w:gridSpan w:val="2"/>
            <w:vMerge w:val="continue"/>
            <w:noWrap/>
            <w:vAlign w:val="center"/>
          </w:tcPr>
          <w:p w14:paraId="2993AE9E">
            <w:pPr>
              <w:widowControl/>
              <w:jc w:val="center"/>
              <w:rPr>
                <w:kern w:val="0"/>
                <w:sz w:val="24"/>
              </w:rPr>
            </w:pPr>
          </w:p>
        </w:tc>
        <w:tc>
          <w:tcPr>
            <w:tcW w:w="2667" w:type="dxa"/>
          </w:tcPr>
          <w:p w14:paraId="219EAD34"/>
        </w:tc>
      </w:tr>
      <w:tr w14:paraId="2AF8B27C">
        <w:tblPrEx>
          <w:tblCellMar>
            <w:top w:w="0" w:type="dxa"/>
            <w:left w:w="108" w:type="dxa"/>
            <w:bottom w:w="0" w:type="dxa"/>
            <w:right w:w="108" w:type="dxa"/>
          </w:tblCellMar>
        </w:tblPrEx>
        <w:trPr>
          <w:trHeight w:val="170" w:hRule="exact"/>
          <w:jc w:val="center"/>
        </w:trPr>
        <w:tc>
          <w:tcPr>
            <w:tcW w:w="255" w:type="dxa"/>
            <w:tcBorders>
              <w:right w:val="single" w:color="auto" w:sz="4" w:space="0"/>
            </w:tcBorders>
            <w:noWrap/>
            <w:vAlign w:val="center"/>
          </w:tcPr>
          <w:p w14:paraId="1FD3A62B">
            <w:pPr>
              <w:widowControl/>
              <w:jc w:val="center"/>
              <w:rPr>
                <w:kern w:val="0"/>
                <w:sz w:val="24"/>
              </w:rPr>
            </w:pPr>
          </w:p>
        </w:tc>
        <w:tc>
          <w:tcPr>
            <w:tcW w:w="254" w:type="dxa"/>
            <w:tcBorders>
              <w:left w:val="single" w:color="auto" w:sz="4" w:space="0"/>
            </w:tcBorders>
            <w:noWrap/>
            <w:vAlign w:val="center"/>
          </w:tcPr>
          <w:p w14:paraId="159A8A67">
            <w:pPr>
              <w:widowControl/>
              <w:jc w:val="center"/>
              <w:rPr>
                <w:kern w:val="0"/>
                <w:sz w:val="24"/>
              </w:rPr>
            </w:pPr>
          </w:p>
        </w:tc>
        <w:tc>
          <w:tcPr>
            <w:tcW w:w="236" w:type="dxa"/>
            <w:noWrap/>
            <w:vAlign w:val="center"/>
          </w:tcPr>
          <w:p w14:paraId="64BC4F88">
            <w:pPr>
              <w:widowControl/>
              <w:jc w:val="center"/>
              <w:rPr>
                <w:kern w:val="0"/>
                <w:sz w:val="24"/>
              </w:rPr>
            </w:pPr>
          </w:p>
        </w:tc>
        <w:tc>
          <w:tcPr>
            <w:tcW w:w="222" w:type="dxa"/>
            <w:tcBorders>
              <w:right w:val="single" w:color="auto" w:sz="4" w:space="0"/>
            </w:tcBorders>
            <w:vAlign w:val="center"/>
          </w:tcPr>
          <w:p w14:paraId="27440480">
            <w:pPr>
              <w:widowControl/>
              <w:jc w:val="center"/>
              <w:rPr>
                <w:kern w:val="0"/>
                <w:sz w:val="24"/>
              </w:rPr>
            </w:pPr>
          </w:p>
        </w:tc>
        <w:tc>
          <w:tcPr>
            <w:tcW w:w="222" w:type="dxa"/>
            <w:tcBorders>
              <w:left w:val="single" w:color="auto" w:sz="4" w:space="0"/>
            </w:tcBorders>
            <w:vAlign w:val="center"/>
          </w:tcPr>
          <w:p w14:paraId="776D7225">
            <w:pPr>
              <w:widowControl/>
              <w:jc w:val="center"/>
              <w:rPr>
                <w:kern w:val="0"/>
                <w:sz w:val="24"/>
              </w:rPr>
            </w:pPr>
          </w:p>
        </w:tc>
        <w:tc>
          <w:tcPr>
            <w:tcW w:w="234" w:type="dxa"/>
            <w:vAlign w:val="center"/>
          </w:tcPr>
          <w:p w14:paraId="3CC0F8DE">
            <w:pPr>
              <w:widowControl/>
              <w:jc w:val="center"/>
              <w:rPr>
                <w:kern w:val="0"/>
                <w:sz w:val="24"/>
              </w:rPr>
            </w:pPr>
          </w:p>
        </w:tc>
        <w:tc>
          <w:tcPr>
            <w:tcW w:w="258" w:type="dxa"/>
            <w:tcBorders>
              <w:right w:val="single" w:color="auto" w:sz="4" w:space="0"/>
            </w:tcBorders>
            <w:noWrap/>
            <w:vAlign w:val="center"/>
          </w:tcPr>
          <w:p w14:paraId="52182734">
            <w:pPr>
              <w:widowControl/>
              <w:jc w:val="center"/>
              <w:rPr>
                <w:kern w:val="0"/>
                <w:sz w:val="24"/>
              </w:rPr>
            </w:pPr>
          </w:p>
        </w:tc>
        <w:tc>
          <w:tcPr>
            <w:tcW w:w="259" w:type="dxa"/>
            <w:tcBorders>
              <w:left w:val="single" w:color="auto" w:sz="4" w:space="0"/>
            </w:tcBorders>
            <w:vAlign w:val="center"/>
          </w:tcPr>
          <w:p w14:paraId="03A4C578">
            <w:pPr>
              <w:widowControl/>
              <w:jc w:val="center"/>
              <w:rPr>
                <w:kern w:val="0"/>
                <w:sz w:val="24"/>
              </w:rPr>
            </w:pPr>
          </w:p>
        </w:tc>
        <w:tc>
          <w:tcPr>
            <w:tcW w:w="236" w:type="dxa"/>
            <w:noWrap/>
            <w:vAlign w:val="center"/>
          </w:tcPr>
          <w:p w14:paraId="63383C52">
            <w:pPr>
              <w:widowControl/>
              <w:jc w:val="center"/>
              <w:rPr>
                <w:kern w:val="0"/>
                <w:sz w:val="24"/>
              </w:rPr>
            </w:pPr>
          </w:p>
        </w:tc>
        <w:tc>
          <w:tcPr>
            <w:tcW w:w="259" w:type="dxa"/>
            <w:tcBorders>
              <w:right w:val="single" w:color="auto" w:sz="4" w:space="0"/>
            </w:tcBorders>
          </w:tcPr>
          <w:p w14:paraId="7F6F0AAC">
            <w:pPr>
              <w:widowControl/>
              <w:jc w:val="center"/>
              <w:rPr>
                <w:kern w:val="0"/>
                <w:sz w:val="24"/>
              </w:rPr>
            </w:pPr>
          </w:p>
        </w:tc>
        <w:tc>
          <w:tcPr>
            <w:tcW w:w="376" w:type="dxa"/>
            <w:gridSpan w:val="2"/>
            <w:tcBorders>
              <w:left w:val="single" w:color="auto" w:sz="4" w:space="0"/>
            </w:tcBorders>
            <w:noWrap/>
            <w:vAlign w:val="center"/>
          </w:tcPr>
          <w:p w14:paraId="61F97679">
            <w:pPr>
              <w:widowControl/>
              <w:jc w:val="center"/>
              <w:rPr>
                <w:kern w:val="0"/>
                <w:sz w:val="24"/>
              </w:rPr>
            </w:pPr>
          </w:p>
        </w:tc>
        <w:tc>
          <w:tcPr>
            <w:tcW w:w="425" w:type="dxa"/>
            <w:gridSpan w:val="2"/>
            <w:vAlign w:val="center"/>
          </w:tcPr>
          <w:p w14:paraId="3A42E1E4">
            <w:pPr>
              <w:widowControl/>
              <w:jc w:val="center"/>
              <w:rPr>
                <w:kern w:val="0"/>
                <w:sz w:val="24"/>
              </w:rPr>
            </w:pPr>
          </w:p>
        </w:tc>
        <w:tc>
          <w:tcPr>
            <w:tcW w:w="283" w:type="dxa"/>
            <w:vAlign w:val="center"/>
          </w:tcPr>
          <w:p w14:paraId="32E0AAD1">
            <w:pPr>
              <w:widowControl/>
              <w:jc w:val="center"/>
              <w:rPr>
                <w:kern w:val="0"/>
                <w:sz w:val="24"/>
              </w:rPr>
            </w:pPr>
          </w:p>
        </w:tc>
        <w:tc>
          <w:tcPr>
            <w:tcW w:w="2667" w:type="dxa"/>
          </w:tcPr>
          <w:p w14:paraId="7005D63C">
            <w:pPr>
              <w:widowControl/>
              <w:rPr>
                <w:kern w:val="0"/>
              </w:rPr>
            </w:pPr>
          </w:p>
        </w:tc>
      </w:tr>
      <w:tr w14:paraId="6EB2B3F5">
        <w:tblPrEx>
          <w:tblCellMar>
            <w:top w:w="0" w:type="dxa"/>
            <w:left w:w="108" w:type="dxa"/>
            <w:bottom w:w="0" w:type="dxa"/>
            <w:right w:w="108" w:type="dxa"/>
          </w:tblCellMar>
        </w:tblPrEx>
        <w:trPr>
          <w:trHeight w:val="170" w:hRule="exact"/>
          <w:jc w:val="center"/>
        </w:trPr>
        <w:tc>
          <w:tcPr>
            <w:tcW w:w="255" w:type="dxa"/>
            <w:tcBorders>
              <w:right w:val="single" w:color="auto" w:sz="4" w:space="0"/>
            </w:tcBorders>
            <w:noWrap/>
            <w:vAlign w:val="center"/>
          </w:tcPr>
          <w:p w14:paraId="21E40E19">
            <w:pPr>
              <w:widowControl/>
              <w:jc w:val="center"/>
              <w:rPr>
                <w:kern w:val="0"/>
                <w:sz w:val="24"/>
              </w:rPr>
            </w:pPr>
          </w:p>
        </w:tc>
        <w:tc>
          <w:tcPr>
            <w:tcW w:w="254" w:type="dxa"/>
            <w:tcBorders>
              <w:left w:val="single" w:color="auto" w:sz="4" w:space="0"/>
            </w:tcBorders>
            <w:noWrap/>
            <w:vAlign w:val="center"/>
          </w:tcPr>
          <w:p w14:paraId="44FDA0C2">
            <w:pPr>
              <w:widowControl/>
              <w:jc w:val="center"/>
              <w:rPr>
                <w:kern w:val="0"/>
                <w:sz w:val="24"/>
              </w:rPr>
            </w:pPr>
          </w:p>
        </w:tc>
        <w:tc>
          <w:tcPr>
            <w:tcW w:w="236" w:type="dxa"/>
            <w:noWrap/>
            <w:vAlign w:val="center"/>
          </w:tcPr>
          <w:p w14:paraId="510D1DD9">
            <w:pPr>
              <w:widowControl/>
              <w:jc w:val="center"/>
              <w:rPr>
                <w:kern w:val="0"/>
                <w:sz w:val="24"/>
              </w:rPr>
            </w:pPr>
          </w:p>
        </w:tc>
        <w:tc>
          <w:tcPr>
            <w:tcW w:w="222" w:type="dxa"/>
            <w:tcBorders>
              <w:right w:val="single" w:color="auto" w:sz="4" w:space="0"/>
            </w:tcBorders>
            <w:vAlign w:val="center"/>
          </w:tcPr>
          <w:p w14:paraId="7F3EF2D5">
            <w:pPr>
              <w:widowControl/>
              <w:jc w:val="center"/>
              <w:rPr>
                <w:kern w:val="0"/>
                <w:sz w:val="24"/>
              </w:rPr>
            </w:pPr>
          </w:p>
        </w:tc>
        <w:tc>
          <w:tcPr>
            <w:tcW w:w="222" w:type="dxa"/>
            <w:tcBorders>
              <w:left w:val="single" w:color="auto" w:sz="4" w:space="0"/>
            </w:tcBorders>
            <w:vAlign w:val="center"/>
          </w:tcPr>
          <w:p w14:paraId="2CF6CFE3">
            <w:pPr>
              <w:widowControl/>
              <w:jc w:val="center"/>
              <w:rPr>
                <w:kern w:val="0"/>
                <w:sz w:val="24"/>
              </w:rPr>
            </w:pPr>
          </w:p>
        </w:tc>
        <w:tc>
          <w:tcPr>
            <w:tcW w:w="234" w:type="dxa"/>
            <w:vAlign w:val="center"/>
          </w:tcPr>
          <w:p w14:paraId="139210B5">
            <w:pPr>
              <w:widowControl/>
              <w:jc w:val="center"/>
              <w:rPr>
                <w:kern w:val="0"/>
                <w:sz w:val="24"/>
              </w:rPr>
            </w:pPr>
          </w:p>
        </w:tc>
        <w:tc>
          <w:tcPr>
            <w:tcW w:w="258" w:type="dxa"/>
            <w:tcBorders>
              <w:right w:val="single" w:color="auto" w:sz="4" w:space="0"/>
            </w:tcBorders>
            <w:noWrap/>
            <w:vAlign w:val="center"/>
          </w:tcPr>
          <w:p w14:paraId="6597B00A">
            <w:pPr>
              <w:widowControl/>
              <w:jc w:val="center"/>
              <w:rPr>
                <w:kern w:val="0"/>
                <w:sz w:val="24"/>
              </w:rPr>
            </w:pPr>
          </w:p>
        </w:tc>
        <w:tc>
          <w:tcPr>
            <w:tcW w:w="259" w:type="dxa"/>
            <w:tcBorders>
              <w:left w:val="single" w:color="auto" w:sz="4" w:space="0"/>
            </w:tcBorders>
            <w:vAlign w:val="center"/>
          </w:tcPr>
          <w:p w14:paraId="074969FF">
            <w:pPr>
              <w:widowControl/>
              <w:jc w:val="center"/>
              <w:rPr>
                <w:kern w:val="0"/>
                <w:sz w:val="24"/>
              </w:rPr>
            </w:pPr>
          </w:p>
        </w:tc>
        <w:tc>
          <w:tcPr>
            <w:tcW w:w="236" w:type="dxa"/>
            <w:noWrap/>
            <w:vAlign w:val="center"/>
          </w:tcPr>
          <w:p w14:paraId="26740081">
            <w:pPr>
              <w:widowControl/>
              <w:jc w:val="center"/>
              <w:rPr>
                <w:kern w:val="0"/>
                <w:sz w:val="24"/>
              </w:rPr>
            </w:pPr>
          </w:p>
        </w:tc>
        <w:tc>
          <w:tcPr>
            <w:tcW w:w="259" w:type="dxa"/>
            <w:tcBorders>
              <w:right w:val="single" w:color="auto" w:sz="4" w:space="0"/>
            </w:tcBorders>
            <w:noWrap/>
            <w:vAlign w:val="center"/>
          </w:tcPr>
          <w:p w14:paraId="4B44166D">
            <w:pPr>
              <w:widowControl/>
              <w:jc w:val="center"/>
              <w:rPr>
                <w:kern w:val="0"/>
                <w:sz w:val="24"/>
              </w:rPr>
            </w:pPr>
          </w:p>
        </w:tc>
        <w:tc>
          <w:tcPr>
            <w:tcW w:w="376" w:type="dxa"/>
            <w:gridSpan w:val="2"/>
            <w:tcBorders>
              <w:left w:val="single" w:color="auto" w:sz="4" w:space="0"/>
              <w:bottom w:val="single" w:color="auto" w:sz="4" w:space="0"/>
            </w:tcBorders>
            <w:vAlign w:val="center"/>
          </w:tcPr>
          <w:p w14:paraId="0E1D2AF8">
            <w:pPr>
              <w:widowControl/>
              <w:jc w:val="center"/>
              <w:rPr>
                <w:kern w:val="0"/>
                <w:sz w:val="24"/>
              </w:rPr>
            </w:pPr>
          </w:p>
        </w:tc>
        <w:tc>
          <w:tcPr>
            <w:tcW w:w="425" w:type="dxa"/>
            <w:gridSpan w:val="2"/>
            <w:tcBorders>
              <w:bottom w:val="single" w:color="auto" w:sz="4" w:space="0"/>
            </w:tcBorders>
            <w:vAlign w:val="center"/>
          </w:tcPr>
          <w:p w14:paraId="100617A1">
            <w:pPr>
              <w:widowControl/>
              <w:jc w:val="center"/>
              <w:rPr>
                <w:kern w:val="0"/>
                <w:sz w:val="24"/>
              </w:rPr>
            </w:pPr>
          </w:p>
        </w:tc>
        <w:tc>
          <w:tcPr>
            <w:tcW w:w="283" w:type="dxa"/>
            <w:tcBorders>
              <w:bottom w:val="single" w:color="auto" w:sz="4" w:space="0"/>
            </w:tcBorders>
            <w:noWrap/>
            <w:vAlign w:val="center"/>
          </w:tcPr>
          <w:p w14:paraId="54C5436B">
            <w:pPr>
              <w:widowControl/>
              <w:jc w:val="center"/>
              <w:rPr>
                <w:kern w:val="0"/>
                <w:sz w:val="24"/>
              </w:rPr>
            </w:pPr>
          </w:p>
        </w:tc>
        <w:tc>
          <w:tcPr>
            <w:tcW w:w="2667" w:type="dxa"/>
            <w:vMerge w:val="restart"/>
          </w:tcPr>
          <w:p w14:paraId="2EB84819">
            <w:r>
              <w:rPr>
                <w:rFonts w:hint="eastAsia"/>
              </w:rPr>
              <w:t>额定工作电压（V）</w:t>
            </w:r>
          </w:p>
        </w:tc>
      </w:tr>
      <w:tr w14:paraId="0FF78B09">
        <w:tblPrEx>
          <w:tblCellMar>
            <w:top w:w="0" w:type="dxa"/>
            <w:left w:w="108" w:type="dxa"/>
            <w:bottom w:w="0" w:type="dxa"/>
            <w:right w:w="108" w:type="dxa"/>
          </w:tblCellMar>
        </w:tblPrEx>
        <w:trPr>
          <w:trHeight w:val="170" w:hRule="exact"/>
          <w:jc w:val="center"/>
        </w:trPr>
        <w:tc>
          <w:tcPr>
            <w:tcW w:w="255" w:type="dxa"/>
            <w:tcBorders>
              <w:right w:val="single" w:color="auto" w:sz="4" w:space="0"/>
            </w:tcBorders>
            <w:noWrap/>
            <w:vAlign w:val="center"/>
          </w:tcPr>
          <w:p w14:paraId="58AEA5C7">
            <w:pPr>
              <w:widowControl/>
              <w:jc w:val="center"/>
              <w:rPr>
                <w:kern w:val="0"/>
                <w:sz w:val="24"/>
              </w:rPr>
            </w:pPr>
          </w:p>
        </w:tc>
        <w:tc>
          <w:tcPr>
            <w:tcW w:w="254" w:type="dxa"/>
            <w:tcBorders>
              <w:left w:val="single" w:color="auto" w:sz="4" w:space="0"/>
            </w:tcBorders>
            <w:noWrap/>
            <w:vAlign w:val="center"/>
          </w:tcPr>
          <w:p w14:paraId="3F1AB329">
            <w:pPr>
              <w:widowControl/>
              <w:jc w:val="center"/>
              <w:rPr>
                <w:kern w:val="0"/>
                <w:sz w:val="24"/>
              </w:rPr>
            </w:pPr>
          </w:p>
        </w:tc>
        <w:tc>
          <w:tcPr>
            <w:tcW w:w="236" w:type="dxa"/>
            <w:noWrap/>
            <w:vAlign w:val="center"/>
          </w:tcPr>
          <w:p w14:paraId="7E580D00">
            <w:pPr>
              <w:widowControl/>
              <w:jc w:val="center"/>
              <w:rPr>
                <w:kern w:val="0"/>
                <w:sz w:val="24"/>
              </w:rPr>
            </w:pPr>
          </w:p>
        </w:tc>
        <w:tc>
          <w:tcPr>
            <w:tcW w:w="222" w:type="dxa"/>
            <w:tcBorders>
              <w:right w:val="single" w:color="auto" w:sz="4" w:space="0"/>
            </w:tcBorders>
            <w:vAlign w:val="center"/>
          </w:tcPr>
          <w:p w14:paraId="12F7A26D">
            <w:pPr>
              <w:widowControl/>
              <w:jc w:val="center"/>
              <w:rPr>
                <w:kern w:val="0"/>
                <w:sz w:val="24"/>
              </w:rPr>
            </w:pPr>
          </w:p>
        </w:tc>
        <w:tc>
          <w:tcPr>
            <w:tcW w:w="222" w:type="dxa"/>
            <w:tcBorders>
              <w:left w:val="single" w:color="auto" w:sz="4" w:space="0"/>
            </w:tcBorders>
            <w:vAlign w:val="center"/>
          </w:tcPr>
          <w:p w14:paraId="411EF8F4">
            <w:pPr>
              <w:widowControl/>
              <w:jc w:val="center"/>
              <w:rPr>
                <w:kern w:val="0"/>
                <w:sz w:val="24"/>
              </w:rPr>
            </w:pPr>
          </w:p>
        </w:tc>
        <w:tc>
          <w:tcPr>
            <w:tcW w:w="234" w:type="dxa"/>
            <w:vAlign w:val="center"/>
          </w:tcPr>
          <w:p w14:paraId="5C417BCF">
            <w:pPr>
              <w:widowControl/>
              <w:jc w:val="center"/>
              <w:rPr>
                <w:kern w:val="0"/>
                <w:sz w:val="24"/>
              </w:rPr>
            </w:pPr>
          </w:p>
        </w:tc>
        <w:tc>
          <w:tcPr>
            <w:tcW w:w="258" w:type="dxa"/>
            <w:tcBorders>
              <w:right w:val="single" w:color="auto" w:sz="4" w:space="0"/>
            </w:tcBorders>
            <w:noWrap/>
            <w:vAlign w:val="center"/>
          </w:tcPr>
          <w:p w14:paraId="5737A5DD">
            <w:pPr>
              <w:widowControl/>
              <w:jc w:val="center"/>
              <w:rPr>
                <w:kern w:val="0"/>
                <w:sz w:val="24"/>
              </w:rPr>
            </w:pPr>
          </w:p>
        </w:tc>
        <w:tc>
          <w:tcPr>
            <w:tcW w:w="259" w:type="dxa"/>
            <w:tcBorders>
              <w:left w:val="single" w:color="auto" w:sz="4" w:space="0"/>
            </w:tcBorders>
            <w:vAlign w:val="center"/>
          </w:tcPr>
          <w:p w14:paraId="0CE2FE2F">
            <w:pPr>
              <w:widowControl/>
              <w:jc w:val="center"/>
              <w:rPr>
                <w:kern w:val="0"/>
                <w:sz w:val="24"/>
              </w:rPr>
            </w:pPr>
          </w:p>
        </w:tc>
        <w:tc>
          <w:tcPr>
            <w:tcW w:w="236" w:type="dxa"/>
            <w:noWrap/>
            <w:vAlign w:val="center"/>
          </w:tcPr>
          <w:p w14:paraId="7B3DFDF4">
            <w:pPr>
              <w:widowControl/>
              <w:jc w:val="center"/>
              <w:rPr>
                <w:kern w:val="0"/>
                <w:sz w:val="24"/>
              </w:rPr>
            </w:pPr>
          </w:p>
        </w:tc>
        <w:tc>
          <w:tcPr>
            <w:tcW w:w="259" w:type="dxa"/>
            <w:noWrap/>
            <w:vAlign w:val="center"/>
          </w:tcPr>
          <w:p w14:paraId="14447247">
            <w:pPr>
              <w:widowControl/>
              <w:jc w:val="center"/>
              <w:rPr>
                <w:kern w:val="0"/>
                <w:sz w:val="24"/>
              </w:rPr>
            </w:pPr>
          </w:p>
        </w:tc>
        <w:tc>
          <w:tcPr>
            <w:tcW w:w="376" w:type="dxa"/>
            <w:gridSpan w:val="2"/>
            <w:tcBorders>
              <w:top w:val="single" w:color="auto" w:sz="4" w:space="0"/>
            </w:tcBorders>
            <w:noWrap/>
            <w:vAlign w:val="center"/>
          </w:tcPr>
          <w:p w14:paraId="20E0D25B">
            <w:pPr>
              <w:widowControl/>
              <w:jc w:val="center"/>
              <w:rPr>
                <w:kern w:val="0"/>
                <w:sz w:val="24"/>
              </w:rPr>
            </w:pPr>
          </w:p>
        </w:tc>
        <w:tc>
          <w:tcPr>
            <w:tcW w:w="425" w:type="dxa"/>
            <w:gridSpan w:val="2"/>
            <w:tcBorders>
              <w:top w:val="single" w:color="auto" w:sz="4" w:space="0"/>
            </w:tcBorders>
          </w:tcPr>
          <w:p w14:paraId="6BF2A840">
            <w:pPr>
              <w:widowControl/>
              <w:jc w:val="center"/>
              <w:rPr>
                <w:kern w:val="0"/>
                <w:sz w:val="24"/>
              </w:rPr>
            </w:pPr>
          </w:p>
        </w:tc>
        <w:tc>
          <w:tcPr>
            <w:tcW w:w="283" w:type="dxa"/>
            <w:tcBorders>
              <w:top w:val="single" w:color="auto" w:sz="4" w:space="0"/>
            </w:tcBorders>
            <w:noWrap/>
            <w:vAlign w:val="center"/>
          </w:tcPr>
          <w:p w14:paraId="572D8C1F">
            <w:pPr>
              <w:widowControl/>
              <w:jc w:val="center"/>
              <w:rPr>
                <w:kern w:val="0"/>
                <w:sz w:val="24"/>
              </w:rPr>
            </w:pPr>
          </w:p>
        </w:tc>
        <w:tc>
          <w:tcPr>
            <w:tcW w:w="2667" w:type="dxa"/>
            <w:vMerge w:val="continue"/>
          </w:tcPr>
          <w:p w14:paraId="09655842">
            <w:pPr>
              <w:widowControl/>
              <w:rPr>
                <w:kern w:val="0"/>
              </w:rPr>
            </w:pPr>
          </w:p>
        </w:tc>
      </w:tr>
      <w:tr w14:paraId="772BB23E">
        <w:tblPrEx>
          <w:tblCellMar>
            <w:top w:w="0" w:type="dxa"/>
            <w:left w:w="108" w:type="dxa"/>
            <w:bottom w:w="0" w:type="dxa"/>
            <w:right w:w="108" w:type="dxa"/>
          </w:tblCellMar>
        </w:tblPrEx>
        <w:trPr>
          <w:trHeight w:val="170" w:hRule="exact"/>
          <w:jc w:val="center"/>
        </w:trPr>
        <w:tc>
          <w:tcPr>
            <w:tcW w:w="255" w:type="dxa"/>
            <w:tcBorders>
              <w:right w:val="single" w:color="auto" w:sz="4" w:space="0"/>
            </w:tcBorders>
            <w:noWrap/>
            <w:vAlign w:val="center"/>
          </w:tcPr>
          <w:p w14:paraId="269D8E72">
            <w:pPr>
              <w:widowControl/>
              <w:jc w:val="center"/>
              <w:rPr>
                <w:kern w:val="0"/>
                <w:sz w:val="24"/>
              </w:rPr>
            </w:pPr>
          </w:p>
        </w:tc>
        <w:tc>
          <w:tcPr>
            <w:tcW w:w="254" w:type="dxa"/>
            <w:tcBorders>
              <w:left w:val="single" w:color="auto" w:sz="4" w:space="0"/>
            </w:tcBorders>
            <w:noWrap/>
            <w:vAlign w:val="center"/>
          </w:tcPr>
          <w:p w14:paraId="056E6B68">
            <w:pPr>
              <w:widowControl/>
              <w:jc w:val="center"/>
              <w:rPr>
                <w:kern w:val="0"/>
                <w:sz w:val="24"/>
              </w:rPr>
            </w:pPr>
          </w:p>
        </w:tc>
        <w:tc>
          <w:tcPr>
            <w:tcW w:w="236" w:type="dxa"/>
            <w:noWrap/>
            <w:vAlign w:val="center"/>
          </w:tcPr>
          <w:p w14:paraId="781B2CE6">
            <w:pPr>
              <w:widowControl/>
              <w:jc w:val="center"/>
              <w:rPr>
                <w:kern w:val="0"/>
                <w:sz w:val="24"/>
              </w:rPr>
            </w:pPr>
          </w:p>
        </w:tc>
        <w:tc>
          <w:tcPr>
            <w:tcW w:w="222" w:type="dxa"/>
            <w:tcBorders>
              <w:right w:val="single" w:color="auto" w:sz="4" w:space="0"/>
            </w:tcBorders>
            <w:vAlign w:val="center"/>
          </w:tcPr>
          <w:p w14:paraId="459675A1">
            <w:pPr>
              <w:widowControl/>
              <w:jc w:val="center"/>
              <w:rPr>
                <w:kern w:val="0"/>
                <w:sz w:val="24"/>
              </w:rPr>
            </w:pPr>
          </w:p>
        </w:tc>
        <w:tc>
          <w:tcPr>
            <w:tcW w:w="222" w:type="dxa"/>
            <w:tcBorders>
              <w:left w:val="single" w:color="auto" w:sz="4" w:space="0"/>
            </w:tcBorders>
            <w:vAlign w:val="center"/>
          </w:tcPr>
          <w:p w14:paraId="382B87EB">
            <w:pPr>
              <w:widowControl/>
              <w:jc w:val="center"/>
              <w:rPr>
                <w:kern w:val="0"/>
                <w:sz w:val="24"/>
              </w:rPr>
            </w:pPr>
          </w:p>
        </w:tc>
        <w:tc>
          <w:tcPr>
            <w:tcW w:w="234" w:type="dxa"/>
            <w:vAlign w:val="center"/>
          </w:tcPr>
          <w:p w14:paraId="790A0175">
            <w:pPr>
              <w:widowControl/>
              <w:jc w:val="center"/>
              <w:rPr>
                <w:kern w:val="0"/>
                <w:sz w:val="24"/>
              </w:rPr>
            </w:pPr>
          </w:p>
        </w:tc>
        <w:tc>
          <w:tcPr>
            <w:tcW w:w="258" w:type="dxa"/>
            <w:tcBorders>
              <w:right w:val="single" w:color="auto" w:sz="4" w:space="0"/>
            </w:tcBorders>
            <w:noWrap/>
            <w:vAlign w:val="center"/>
          </w:tcPr>
          <w:p w14:paraId="0FE6E376">
            <w:pPr>
              <w:widowControl/>
              <w:jc w:val="center"/>
              <w:rPr>
                <w:kern w:val="0"/>
                <w:sz w:val="24"/>
              </w:rPr>
            </w:pPr>
          </w:p>
        </w:tc>
        <w:tc>
          <w:tcPr>
            <w:tcW w:w="259" w:type="dxa"/>
            <w:tcBorders>
              <w:left w:val="single" w:color="auto" w:sz="4" w:space="0"/>
              <w:bottom w:val="single" w:color="auto" w:sz="4" w:space="0"/>
            </w:tcBorders>
            <w:vAlign w:val="center"/>
          </w:tcPr>
          <w:p w14:paraId="27B0E662">
            <w:pPr>
              <w:widowControl/>
              <w:jc w:val="center"/>
              <w:rPr>
                <w:kern w:val="0"/>
                <w:sz w:val="24"/>
              </w:rPr>
            </w:pPr>
          </w:p>
        </w:tc>
        <w:tc>
          <w:tcPr>
            <w:tcW w:w="236" w:type="dxa"/>
            <w:tcBorders>
              <w:bottom w:val="single" w:color="auto" w:sz="4" w:space="0"/>
            </w:tcBorders>
            <w:noWrap/>
            <w:vAlign w:val="center"/>
          </w:tcPr>
          <w:p w14:paraId="48830023">
            <w:pPr>
              <w:widowControl/>
              <w:jc w:val="center"/>
              <w:rPr>
                <w:kern w:val="0"/>
                <w:sz w:val="24"/>
              </w:rPr>
            </w:pPr>
          </w:p>
        </w:tc>
        <w:tc>
          <w:tcPr>
            <w:tcW w:w="259" w:type="dxa"/>
            <w:tcBorders>
              <w:bottom w:val="single" w:color="auto" w:sz="4" w:space="0"/>
            </w:tcBorders>
            <w:noWrap/>
            <w:vAlign w:val="center"/>
          </w:tcPr>
          <w:p w14:paraId="64A923F1">
            <w:pPr>
              <w:widowControl/>
              <w:jc w:val="center"/>
              <w:rPr>
                <w:kern w:val="0"/>
                <w:sz w:val="24"/>
              </w:rPr>
            </w:pPr>
          </w:p>
        </w:tc>
        <w:tc>
          <w:tcPr>
            <w:tcW w:w="376" w:type="dxa"/>
            <w:gridSpan w:val="2"/>
            <w:tcBorders>
              <w:bottom w:val="single" w:color="auto" w:sz="4" w:space="0"/>
            </w:tcBorders>
            <w:noWrap/>
            <w:vAlign w:val="center"/>
          </w:tcPr>
          <w:p w14:paraId="47D4BD9A">
            <w:pPr>
              <w:widowControl/>
              <w:jc w:val="center"/>
              <w:rPr>
                <w:kern w:val="0"/>
                <w:sz w:val="24"/>
              </w:rPr>
            </w:pPr>
          </w:p>
        </w:tc>
        <w:tc>
          <w:tcPr>
            <w:tcW w:w="425" w:type="dxa"/>
            <w:gridSpan w:val="2"/>
            <w:tcBorders>
              <w:bottom w:val="single" w:color="auto" w:sz="4" w:space="0"/>
            </w:tcBorders>
          </w:tcPr>
          <w:p w14:paraId="477A89BF">
            <w:pPr>
              <w:widowControl/>
              <w:jc w:val="center"/>
              <w:rPr>
                <w:kern w:val="0"/>
                <w:sz w:val="24"/>
              </w:rPr>
            </w:pPr>
          </w:p>
        </w:tc>
        <w:tc>
          <w:tcPr>
            <w:tcW w:w="283" w:type="dxa"/>
            <w:tcBorders>
              <w:bottom w:val="single" w:color="auto" w:sz="4" w:space="0"/>
            </w:tcBorders>
            <w:noWrap/>
            <w:vAlign w:val="center"/>
          </w:tcPr>
          <w:p w14:paraId="43034532">
            <w:pPr>
              <w:widowControl/>
              <w:jc w:val="center"/>
              <w:rPr>
                <w:kern w:val="0"/>
                <w:sz w:val="24"/>
              </w:rPr>
            </w:pPr>
          </w:p>
        </w:tc>
        <w:tc>
          <w:tcPr>
            <w:tcW w:w="2667" w:type="dxa"/>
            <w:vMerge w:val="restart"/>
          </w:tcPr>
          <w:p w14:paraId="6F825CB6">
            <w:r>
              <w:rPr>
                <w:rFonts w:hint="eastAsia"/>
              </w:rPr>
              <w:t>监测</w:t>
            </w:r>
          </w:p>
        </w:tc>
      </w:tr>
      <w:tr w14:paraId="0D05EDEB">
        <w:tblPrEx>
          <w:tblCellMar>
            <w:top w:w="0" w:type="dxa"/>
            <w:left w:w="108" w:type="dxa"/>
            <w:bottom w:w="0" w:type="dxa"/>
            <w:right w:w="108" w:type="dxa"/>
          </w:tblCellMar>
        </w:tblPrEx>
        <w:trPr>
          <w:trHeight w:val="170" w:hRule="exact"/>
          <w:jc w:val="center"/>
        </w:trPr>
        <w:tc>
          <w:tcPr>
            <w:tcW w:w="255" w:type="dxa"/>
            <w:tcBorders>
              <w:right w:val="single" w:color="auto" w:sz="4" w:space="0"/>
            </w:tcBorders>
            <w:noWrap/>
            <w:vAlign w:val="center"/>
          </w:tcPr>
          <w:p w14:paraId="6261E5BD">
            <w:pPr>
              <w:widowControl/>
              <w:jc w:val="center"/>
              <w:rPr>
                <w:kern w:val="0"/>
                <w:sz w:val="24"/>
              </w:rPr>
            </w:pPr>
          </w:p>
        </w:tc>
        <w:tc>
          <w:tcPr>
            <w:tcW w:w="254" w:type="dxa"/>
            <w:tcBorders>
              <w:left w:val="single" w:color="auto" w:sz="4" w:space="0"/>
            </w:tcBorders>
            <w:noWrap/>
            <w:vAlign w:val="center"/>
          </w:tcPr>
          <w:p w14:paraId="60B76F2E">
            <w:pPr>
              <w:widowControl/>
              <w:jc w:val="center"/>
              <w:rPr>
                <w:kern w:val="0"/>
                <w:sz w:val="24"/>
              </w:rPr>
            </w:pPr>
          </w:p>
        </w:tc>
        <w:tc>
          <w:tcPr>
            <w:tcW w:w="236" w:type="dxa"/>
            <w:noWrap/>
            <w:vAlign w:val="center"/>
          </w:tcPr>
          <w:p w14:paraId="78312AA6">
            <w:pPr>
              <w:widowControl/>
              <w:jc w:val="center"/>
              <w:rPr>
                <w:kern w:val="0"/>
                <w:sz w:val="24"/>
              </w:rPr>
            </w:pPr>
          </w:p>
        </w:tc>
        <w:tc>
          <w:tcPr>
            <w:tcW w:w="222" w:type="dxa"/>
            <w:tcBorders>
              <w:right w:val="single" w:color="auto" w:sz="4" w:space="0"/>
            </w:tcBorders>
            <w:vAlign w:val="center"/>
          </w:tcPr>
          <w:p w14:paraId="113E1493">
            <w:pPr>
              <w:widowControl/>
              <w:jc w:val="center"/>
              <w:rPr>
                <w:kern w:val="0"/>
                <w:sz w:val="24"/>
              </w:rPr>
            </w:pPr>
          </w:p>
        </w:tc>
        <w:tc>
          <w:tcPr>
            <w:tcW w:w="222" w:type="dxa"/>
            <w:tcBorders>
              <w:left w:val="single" w:color="auto" w:sz="4" w:space="0"/>
            </w:tcBorders>
            <w:vAlign w:val="center"/>
          </w:tcPr>
          <w:p w14:paraId="15A7FF08">
            <w:pPr>
              <w:widowControl/>
              <w:jc w:val="center"/>
              <w:rPr>
                <w:kern w:val="0"/>
                <w:sz w:val="24"/>
              </w:rPr>
            </w:pPr>
          </w:p>
        </w:tc>
        <w:tc>
          <w:tcPr>
            <w:tcW w:w="234" w:type="dxa"/>
            <w:vAlign w:val="center"/>
          </w:tcPr>
          <w:p w14:paraId="68EF8F26">
            <w:pPr>
              <w:widowControl/>
              <w:jc w:val="center"/>
              <w:rPr>
                <w:kern w:val="0"/>
                <w:sz w:val="24"/>
              </w:rPr>
            </w:pPr>
          </w:p>
        </w:tc>
        <w:tc>
          <w:tcPr>
            <w:tcW w:w="258" w:type="dxa"/>
            <w:noWrap/>
            <w:vAlign w:val="center"/>
          </w:tcPr>
          <w:p w14:paraId="49539C51">
            <w:pPr>
              <w:widowControl/>
              <w:jc w:val="center"/>
              <w:rPr>
                <w:kern w:val="0"/>
                <w:sz w:val="24"/>
              </w:rPr>
            </w:pPr>
          </w:p>
        </w:tc>
        <w:tc>
          <w:tcPr>
            <w:tcW w:w="259" w:type="dxa"/>
            <w:tcBorders>
              <w:top w:val="single" w:color="auto" w:sz="4" w:space="0"/>
            </w:tcBorders>
            <w:vAlign w:val="center"/>
          </w:tcPr>
          <w:p w14:paraId="27A09E67">
            <w:pPr>
              <w:widowControl/>
              <w:jc w:val="center"/>
              <w:rPr>
                <w:kern w:val="0"/>
                <w:sz w:val="24"/>
              </w:rPr>
            </w:pPr>
          </w:p>
        </w:tc>
        <w:tc>
          <w:tcPr>
            <w:tcW w:w="236" w:type="dxa"/>
            <w:tcBorders>
              <w:top w:val="single" w:color="auto" w:sz="4" w:space="0"/>
            </w:tcBorders>
            <w:noWrap/>
            <w:vAlign w:val="center"/>
          </w:tcPr>
          <w:p w14:paraId="57E99A20">
            <w:pPr>
              <w:widowControl/>
              <w:jc w:val="center"/>
              <w:rPr>
                <w:kern w:val="0"/>
                <w:sz w:val="24"/>
              </w:rPr>
            </w:pPr>
          </w:p>
        </w:tc>
        <w:tc>
          <w:tcPr>
            <w:tcW w:w="259" w:type="dxa"/>
            <w:tcBorders>
              <w:top w:val="single" w:color="auto" w:sz="4" w:space="0"/>
            </w:tcBorders>
            <w:noWrap/>
            <w:vAlign w:val="center"/>
          </w:tcPr>
          <w:p w14:paraId="37CAAD1E">
            <w:pPr>
              <w:widowControl/>
              <w:jc w:val="center"/>
              <w:rPr>
                <w:kern w:val="0"/>
                <w:sz w:val="24"/>
              </w:rPr>
            </w:pPr>
          </w:p>
        </w:tc>
        <w:tc>
          <w:tcPr>
            <w:tcW w:w="376" w:type="dxa"/>
            <w:gridSpan w:val="2"/>
            <w:tcBorders>
              <w:top w:val="single" w:color="auto" w:sz="4" w:space="0"/>
            </w:tcBorders>
            <w:noWrap/>
            <w:vAlign w:val="center"/>
          </w:tcPr>
          <w:p w14:paraId="75603C86">
            <w:pPr>
              <w:widowControl/>
              <w:jc w:val="center"/>
              <w:rPr>
                <w:kern w:val="0"/>
                <w:sz w:val="24"/>
              </w:rPr>
            </w:pPr>
          </w:p>
        </w:tc>
        <w:tc>
          <w:tcPr>
            <w:tcW w:w="425" w:type="dxa"/>
            <w:gridSpan w:val="2"/>
            <w:tcBorders>
              <w:top w:val="single" w:color="auto" w:sz="4" w:space="0"/>
            </w:tcBorders>
          </w:tcPr>
          <w:p w14:paraId="07FEDEB6">
            <w:pPr>
              <w:widowControl/>
              <w:jc w:val="center"/>
              <w:rPr>
                <w:kern w:val="0"/>
                <w:sz w:val="24"/>
              </w:rPr>
            </w:pPr>
          </w:p>
        </w:tc>
        <w:tc>
          <w:tcPr>
            <w:tcW w:w="283" w:type="dxa"/>
            <w:tcBorders>
              <w:top w:val="single" w:color="auto" w:sz="4" w:space="0"/>
            </w:tcBorders>
            <w:noWrap/>
            <w:vAlign w:val="center"/>
          </w:tcPr>
          <w:p w14:paraId="57B2B3AC">
            <w:pPr>
              <w:widowControl/>
              <w:jc w:val="center"/>
              <w:rPr>
                <w:kern w:val="0"/>
                <w:sz w:val="24"/>
              </w:rPr>
            </w:pPr>
          </w:p>
        </w:tc>
        <w:tc>
          <w:tcPr>
            <w:tcW w:w="2667" w:type="dxa"/>
            <w:vMerge w:val="continue"/>
          </w:tcPr>
          <w:p w14:paraId="7DA3B93A">
            <w:pPr>
              <w:widowControl/>
              <w:rPr>
                <w:kern w:val="0"/>
              </w:rPr>
            </w:pPr>
          </w:p>
        </w:tc>
      </w:tr>
      <w:tr w14:paraId="1F81B7F0">
        <w:tblPrEx>
          <w:tblCellMar>
            <w:top w:w="0" w:type="dxa"/>
            <w:left w:w="108" w:type="dxa"/>
            <w:bottom w:w="0" w:type="dxa"/>
            <w:right w:w="108" w:type="dxa"/>
          </w:tblCellMar>
        </w:tblPrEx>
        <w:trPr>
          <w:trHeight w:val="170" w:hRule="exact"/>
          <w:jc w:val="center"/>
        </w:trPr>
        <w:tc>
          <w:tcPr>
            <w:tcW w:w="255" w:type="dxa"/>
            <w:tcBorders>
              <w:right w:val="single" w:color="auto" w:sz="4" w:space="0"/>
            </w:tcBorders>
            <w:noWrap/>
            <w:vAlign w:val="center"/>
          </w:tcPr>
          <w:p w14:paraId="37850FFC">
            <w:pPr>
              <w:widowControl/>
              <w:jc w:val="center"/>
              <w:rPr>
                <w:kern w:val="0"/>
                <w:sz w:val="24"/>
              </w:rPr>
            </w:pPr>
          </w:p>
        </w:tc>
        <w:tc>
          <w:tcPr>
            <w:tcW w:w="254" w:type="dxa"/>
            <w:tcBorders>
              <w:left w:val="single" w:color="auto" w:sz="4" w:space="0"/>
            </w:tcBorders>
            <w:noWrap/>
            <w:vAlign w:val="center"/>
          </w:tcPr>
          <w:p w14:paraId="06C3188F">
            <w:pPr>
              <w:widowControl/>
              <w:jc w:val="center"/>
              <w:rPr>
                <w:kern w:val="0"/>
                <w:sz w:val="24"/>
              </w:rPr>
            </w:pPr>
          </w:p>
        </w:tc>
        <w:tc>
          <w:tcPr>
            <w:tcW w:w="236" w:type="dxa"/>
            <w:noWrap/>
            <w:vAlign w:val="center"/>
          </w:tcPr>
          <w:p w14:paraId="0591C98B">
            <w:pPr>
              <w:widowControl/>
              <w:jc w:val="center"/>
              <w:rPr>
                <w:kern w:val="0"/>
                <w:sz w:val="24"/>
              </w:rPr>
            </w:pPr>
          </w:p>
        </w:tc>
        <w:tc>
          <w:tcPr>
            <w:tcW w:w="222" w:type="dxa"/>
            <w:tcBorders>
              <w:right w:val="single" w:color="auto" w:sz="4" w:space="0"/>
            </w:tcBorders>
            <w:vAlign w:val="center"/>
          </w:tcPr>
          <w:p w14:paraId="44ED97B0">
            <w:pPr>
              <w:widowControl/>
              <w:jc w:val="center"/>
              <w:rPr>
                <w:kern w:val="0"/>
                <w:sz w:val="24"/>
              </w:rPr>
            </w:pPr>
          </w:p>
        </w:tc>
        <w:tc>
          <w:tcPr>
            <w:tcW w:w="222" w:type="dxa"/>
            <w:tcBorders>
              <w:left w:val="single" w:color="auto" w:sz="4" w:space="0"/>
              <w:bottom w:val="single" w:color="auto" w:sz="4" w:space="0"/>
            </w:tcBorders>
            <w:vAlign w:val="center"/>
          </w:tcPr>
          <w:p w14:paraId="69E10BA2">
            <w:pPr>
              <w:widowControl/>
              <w:jc w:val="center"/>
              <w:rPr>
                <w:kern w:val="0"/>
                <w:sz w:val="24"/>
              </w:rPr>
            </w:pPr>
          </w:p>
        </w:tc>
        <w:tc>
          <w:tcPr>
            <w:tcW w:w="234" w:type="dxa"/>
            <w:tcBorders>
              <w:bottom w:val="single" w:color="auto" w:sz="4" w:space="0"/>
            </w:tcBorders>
            <w:vAlign w:val="center"/>
          </w:tcPr>
          <w:p w14:paraId="798837BD">
            <w:pPr>
              <w:widowControl/>
              <w:jc w:val="center"/>
              <w:rPr>
                <w:kern w:val="0"/>
                <w:sz w:val="24"/>
              </w:rPr>
            </w:pPr>
          </w:p>
        </w:tc>
        <w:tc>
          <w:tcPr>
            <w:tcW w:w="258" w:type="dxa"/>
            <w:tcBorders>
              <w:bottom w:val="single" w:color="auto" w:sz="4" w:space="0"/>
            </w:tcBorders>
            <w:noWrap/>
            <w:vAlign w:val="center"/>
          </w:tcPr>
          <w:p w14:paraId="79CF5175">
            <w:pPr>
              <w:widowControl/>
              <w:jc w:val="center"/>
              <w:rPr>
                <w:kern w:val="0"/>
                <w:sz w:val="24"/>
              </w:rPr>
            </w:pPr>
          </w:p>
        </w:tc>
        <w:tc>
          <w:tcPr>
            <w:tcW w:w="259" w:type="dxa"/>
            <w:tcBorders>
              <w:bottom w:val="single" w:color="auto" w:sz="4" w:space="0"/>
            </w:tcBorders>
            <w:vAlign w:val="center"/>
          </w:tcPr>
          <w:p w14:paraId="2174E2D4">
            <w:pPr>
              <w:widowControl/>
              <w:jc w:val="center"/>
              <w:rPr>
                <w:kern w:val="0"/>
                <w:sz w:val="24"/>
              </w:rPr>
            </w:pPr>
          </w:p>
        </w:tc>
        <w:tc>
          <w:tcPr>
            <w:tcW w:w="236" w:type="dxa"/>
            <w:tcBorders>
              <w:bottom w:val="single" w:color="auto" w:sz="4" w:space="0"/>
            </w:tcBorders>
            <w:noWrap/>
            <w:vAlign w:val="center"/>
          </w:tcPr>
          <w:p w14:paraId="1C2E9318">
            <w:pPr>
              <w:widowControl/>
              <w:jc w:val="center"/>
              <w:rPr>
                <w:kern w:val="0"/>
                <w:sz w:val="24"/>
              </w:rPr>
            </w:pPr>
          </w:p>
        </w:tc>
        <w:tc>
          <w:tcPr>
            <w:tcW w:w="259" w:type="dxa"/>
            <w:tcBorders>
              <w:bottom w:val="single" w:color="auto" w:sz="4" w:space="0"/>
            </w:tcBorders>
            <w:noWrap/>
            <w:vAlign w:val="center"/>
          </w:tcPr>
          <w:p w14:paraId="41CDBC69">
            <w:pPr>
              <w:widowControl/>
              <w:jc w:val="center"/>
              <w:rPr>
                <w:kern w:val="0"/>
                <w:sz w:val="24"/>
              </w:rPr>
            </w:pPr>
          </w:p>
        </w:tc>
        <w:tc>
          <w:tcPr>
            <w:tcW w:w="376" w:type="dxa"/>
            <w:gridSpan w:val="2"/>
            <w:tcBorders>
              <w:bottom w:val="single" w:color="auto" w:sz="4" w:space="0"/>
            </w:tcBorders>
            <w:noWrap/>
            <w:vAlign w:val="center"/>
          </w:tcPr>
          <w:p w14:paraId="0CC1E6EF">
            <w:pPr>
              <w:widowControl/>
              <w:jc w:val="center"/>
              <w:rPr>
                <w:kern w:val="0"/>
                <w:sz w:val="24"/>
              </w:rPr>
            </w:pPr>
          </w:p>
        </w:tc>
        <w:tc>
          <w:tcPr>
            <w:tcW w:w="425" w:type="dxa"/>
            <w:gridSpan w:val="2"/>
            <w:tcBorders>
              <w:bottom w:val="single" w:color="auto" w:sz="4" w:space="0"/>
            </w:tcBorders>
          </w:tcPr>
          <w:p w14:paraId="05C509B0">
            <w:pPr>
              <w:widowControl/>
              <w:jc w:val="center"/>
              <w:rPr>
                <w:kern w:val="0"/>
                <w:sz w:val="24"/>
              </w:rPr>
            </w:pPr>
          </w:p>
        </w:tc>
        <w:tc>
          <w:tcPr>
            <w:tcW w:w="283" w:type="dxa"/>
            <w:tcBorders>
              <w:bottom w:val="single" w:color="auto" w:sz="4" w:space="0"/>
            </w:tcBorders>
            <w:noWrap/>
            <w:vAlign w:val="center"/>
          </w:tcPr>
          <w:p w14:paraId="73115484">
            <w:pPr>
              <w:widowControl/>
              <w:jc w:val="center"/>
              <w:rPr>
                <w:kern w:val="0"/>
                <w:sz w:val="24"/>
              </w:rPr>
            </w:pPr>
            <w:r>
              <w:rPr>
                <w:rFonts w:hint="eastAsia"/>
                <w:kern w:val="0"/>
                <w:sz w:val="24"/>
              </w:rPr>
              <w:t xml:space="preserve">     </w:t>
            </w:r>
          </w:p>
        </w:tc>
        <w:tc>
          <w:tcPr>
            <w:tcW w:w="2667" w:type="dxa"/>
            <w:vMerge w:val="restart"/>
          </w:tcPr>
          <w:p w14:paraId="7AE432E7">
            <w:r>
              <w:rPr>
                <w:rFonts w:hint="eastAsia"/>
              </w:rPr>
              <w:t>断链</w:t>
            </w:r>
          </w:p>
        </w:tc>
      </w:tr>
      <w:tr w14:paraId="7A3921E8">
        <w:tblPrEx>
          <w:tblCellMar>
            <w:top w:w="0" w:type="dxa"/>
            <w:left w:w="108" w:type="dxa"/>
            <w:bottom w:w="0" w:type="dxa"/>
            <w:right w:w="108" w:type="dxa"/>
          </w:tblCellMar>
        </w:tblPrEx>
        <w:trPr>
          <w:trHeight w:val="177" w:hRule="exact"/>
          <w:jc w:val="center"/>
        </w:trPr>
        <w:tc>
          <w:tcPr>
            <w:tcW w:w="255" w:type="dxa"/>
            <w:tcBorders>
              <w:right w:val="single" w:color="auto" w:sz="4" w:space="0"/>
            </w:tcBorders>
            <w:noWrap/>
            <w:vAlign w:val="center"/>
          </w:tcPr>
          <w:p w14:paraId="4E7A3AF1">
            <w:pPr>
              <w:widowControl/>
              <w:jc w:val="center"/>
              <w:rPr>
                <w:kern w:val="0"/>
                <w:sz w:val="24"/>
              </w:rPr>
            </w:pPr>
          </w:p>
        </w:tc>
        <w:tc>
          <w:tcPr>
            <w:tcW w:w="254" w:type="dxa"/>
            <w:tcBorders>
              <w:left w:val="single" w:color="auto" w:sz="4" w:space="0"/>
            </w:tcBorders>
            <w:noWrap/>
            <w:vAlign w:val="center"/>
          </w:tcPr>
          <w:p w14:paraId="423417B4">
            <w:pPr>
              <w:widowControl/>
              <w:jc w:val="center"/>
              <w:rPr>
                <w:kern w:val="0"/>
                <w:sz w:val="24"/>
              </w:rPr>
            </w:pPr>
          </w:p>
        </w:tc>
        <w:tc>
          <w:tcPr>
            <w:tcW w:w="236" w:type="dxa"/>
            <w:noWrap/>
            <w:vAlign w:val="center"/>
          </w:tcPr>
          <w:p w14:paraId="637E1A4C">
            <w:pPr>
              <w:widowControl/>
              <w:jc w:val="center"/>
              <w:rPr>
                <w:kern w:val="0"/>
                <w:sz w:val="24"/>
              </w:rPr>
            </w:pPr>
          </w:p>
        </w:tc>
        <w:tc>
          <w:tcPr>
            <w:tcW w:w="222" w:type="dxa"/>
            <w:vAlign w:val="center"/>
          </w:tcPr>
          <w:p w14:paraId="77C3C181">
            <w:pPr>
              <w:widowControl/>
              <w:jc w:val="center"/>
              <w:rPr>
                <w:kern w:val="0"/>
                <w:sz w:val="24"/>
              </w:rPr>
            </w:pPr>
          </w:p>
        </w:tc>
        <w:tc>
          <w:tcPr>
            <w:tcW w:w="222" w:type="dxa"/>
            <w:tcBorders>
              <w:top w:val="single" w:color="auto" w:sz="4" w:space="0"/>
            </w:tcBorders>
            <w:vAlign w:val="center"/>
          </w:tcPr>
          <w:p w14:paraId="2BE36149">
            <w:pPr>
              <w:widowControl/>
              <w:jc w:val="center"/>
              <w:rPr>
                <w:kern w:val="0"/>
                <w:sz w:val="24"/>
              </w:rPr>
            </w:pPr>
          </w:p>
        </w:tc>
        <w:tc>
          <w:tcPr>
            <w:tcW w:w="234" w:type="dxa"/>
            <w:tcBorders>
              <w:top w:val="single" w:color="auto" w:sz="4" w:space="0"/>
            </w:tcBorders>
            <w:vAlign w:val="center"/>
          </w:tcPr>
          <w:p w14:paraId="4D17E4E4">
            <w:pPr>
              <w:widowControl/>
              <w:jc w:val="center"/>
              <w:rPr>
                <w:kern w:val="0"/>
                <w:sz w:val="24"/>
              </w:rPr>
            </w:pPr>
          </w:p>
        </w:tc>
        <w:tc>
          <w:tcPr>
            <w:tcW w:w="258" w:type="dxa"/>
            <w:tcBorders>
              <w:top w:val="single" w:color="auto" w:sz="4" w:space="0"/>
            </w:tcBorders>
            <w:noWrap/>
            <w:vAlign w:val="center"/>
          </w:tcPr>
          <w:p w14:paraId="28B4E196">
            <w:pPr>
              <w:widowControl/>
              <w:jc w:val="center"/>
              <w:rPr>
                <w:kern w:val="0"/>
                <w:sz w:val="24"/>
              </w:rPr>
            </w:pPr>
          </w:p>
        </w:tc>
        <w:tc>
          <w:tcPr>
            <w:tcW w:w="259" w:type="dxa"/>
            <w:tcBorders>
              <w:top w:val="single" w:color="auto" w:sz="4" w:space="0"/>
            </w:tcBorders>
            <w:vAlign w:val="center"/>
          </w:tcPr>
          <w:p w14:paraId="3E3EFA67">
            <w:pPr>
              <w:widowControl/>
              <w:jc w:val="center"/>
              <w:rPr>
                <w:kern w:val="0"/>
                <w:sz w:val="24"/>
              </w:rPr>
            </w:pPr>
          </w:p>
        </w:tc>
        <w:tc>
          <w:tcPr>
            <w:tcW w:w="236" w:type="dxa"/>
            <w:tcBorders>
              <w:top w:val="single" w:color="auto" w:sz="4" w:space="0"/>
            </w:tcBorders>
            <w:noWrap/>
            <w:vAlign w:val="center"/>
          </w:tcPr>
          <w:p w14:paraId="11192321">
            <w:pPr>
              <w:widowControl/>
              <w:jc w:val="center"/>
              <w:rPr>
                <w:kern w:val="0"/>
                <w:sz w:val="24"/>
              </w:rPr>
            </w:pPr>
          </w:p>
        </w:tc>
        <w:tc>
          <w:tcPr>
            <w:tcW w:w="259" w:type="dxa"/>
            <w:tcBorders>
              <w:top w:val="single" w:color="auto" w:sz="4" w:space="0"/>
            </w:tcBorders>
            <w:noWrap/>
            <w:vAlign w:val="center"/>
          </w:tcPr>
          <w:p w14:paraId="0C655713">
            <w:pPr>
              <w:widowControl/>
              <w:jc w:val="center"/>
              <w:rPr>
                <w:kern w:val="0"/>
                <w:sz w:val="24"/>
              </w:rPr>
            </w:pPr>
          </w:p>
        </w:tc>
        <w:tc>
          <w:tcPr>
            <w:tcW w:w="376" w:type="dxa"/>
            <w:gridSpan w:val="2"/>
            <w:tcBorders>
              <w:top w:val="single" w:color="auto" w:sz="4" w:space="0"/>
            </w:tcBorders>
            <w:noWrap/>
            <w:vAlign w:val="center"/>
          </w:tcPr>
          <w:p w14:paraId="26CA1C37">
            <w:pPr>
              <w:widowControl/>
              <w:jc w:val="center"/>
              <w:rPr>
                <w:kern w:val="0"/>
                <w:sz w:val="24"/>
              </w:rPr>
            </w:pPr>
          </w:p>
        </w:tc>
        <w:tc>
          <w:tcPr>
            <w:tcW w:w="425" w:type="dxa"/>
            <w:gridSpan w:val="2"/>
            <w:tcBorders>
              <w:top w:val="single" w:color="auto" w:sz="4" w:space="0"/>
            </w:tcBorders>
          </w:tcPr>
          <w:p w14:paraId="32A9392E">
            <w:pPr>
              <w:widowControl/>
              <w:jc w:val="center"/>
              <w:rPr>
                <w:kern w:val="0"/>
                <w:sz w:val="24"/>
              </w:rPr>
            </w:pPr>
          </w:p>
        </w:tc>
        <w:tc>
          <w:tcPr>
            <w:tcW w:w="283" w:type="dxa"/>
            <w:tcBorders>
              <w:top w:val="single" w:color="auto" w:sz="4" w:space="0"/>
            </w:tcBorders>
            <w:noWrap/>
            <w:vAlign w:val="center"/>
          </w:tcPr>
          <w:p w14:paraId="21037354">
            <w:pPr>
              <w:widowControl/>
              <w:jc w:val="center"/>
              <w:rPr>
                <w:kern w:val="0"/>
                <w:sz w:val="24"/>
              </w:rPr>
            </w:pPr>
          </w:p>
        </w:tc>
        <w:tc>
          <w:tcPr>
            <w:tcW w:w="2667" w:type="dxa"/>
            <w:vMerge w:val="continue"/>
          </w:tcPr>
          <w:p w14:paraId="1C6C1A49">
            <w:pPr>
              <w:widowControl/>
              <w:rPr>
                <w:kern w:val="0"/>
              </w:rPr>
            </w:pPr>
          </w:p>
        </w:tc>
      </w:tr>
      <w:tr w14:paraId="7ADC8F06">
        <w:tblPrEx>
          <w:tblCellMar>
            <w:top w:w="0" w:type="dxa"/>
            <w:left w:w="108" w:type="dxa"/>
            <w:bottom w:w="0" w:type="dxa"/>
            <w:right w:w="108" w:type="dxa"/>
          </w:tblCellMar>
        </w:tblPrEx>
        <w:trPr>
          <w:trHeight w:val="177" w:hRule="exact"/>
          <w:jc w:val="center"/>
        </w:trPr>
        <w:tc>
          <w:tcPr>
            <w:tcW w:w="255" w:type="dxa"/>
            <w:tcBorders>
              <w:right w:val="single" w:color="auto" w:sz="4" w:space="0"/>
            </w:tcBorders>
            <w:noWrap/>
            <w:vAlign w:val="center"/>
          </w:tcPr>
          <w:p w14:paraId="7CD6B4BE">
            <w:pPr>
              <w:widowControl/>
              <w:jc w:val="center"/>
              <w:rPr>
                <w:kern w:val="0"/>
                <w:sz w:val="24"/>
              </w:rPr>
            </w:pPr>
          </w:p>
        </w:tc>
        <w:tc>
          <w:tcPr>
            <w:tcW w:w="254" w:type="dxa"/>
            <w:tcBorders>
              <w:left w:val="single" w:color="auto" w:sz="4" w:space="0"/>
              <w:bottom w:val="single" w:color="auto" w:sz="4" w:space="0"/>
            </w:tcBorders>
            <w:noWrap/>
            <w:vAlign w:val="center"/>
          </w:tcPr>
          <w:p w14:paraId="53E0D9C7">
            <w:pPr>
              <w:widowControl/>
              <w:jc w:val="center"/>
              <w:rPr>
                <w:kern w:val="0"/>
                <w:sz w:val="24"/>
              </w:rPr>
            </w:pPr>
          </w:p>
        </w:tc>
        <w:tc>
          <w:tcPr>
            <w:tcW w:w="236" w:type="dxa"/>
            <w:tcBorders>
              <w:bottom w:val="single" w:color="auto" w:sz="4" w:space="0"/>
            </w:tcBorders>
            <w:noWrap/>
            <w:vAlign w:val="center"/>
          </w:tcPr>
          <w:p w14:paraId="740F91C3">
            <w:pPr>
              <w:widowControl/>
              <w:jc w:val="center"/>
              <w:rPr>
                <w:kern w:val="0"/>
                <w:sz w:val="24"/>
              </w:rPr>
            </w:pPr>
          </w:p>
        </w:tc>
        <w:tc>
          <w:tcPr>
            <w:tcW w:w="222" w:type="dxa"/>
            <w:tcBorders>
              <w:bottom w:val="single" w:color="auto" w:sz="4" w:space="0"/>
            </w:tcBorders>
            <w:vAlign w:val="center"/>
          </w:tcPr>
          <w:p w14:paraId="1457EA51">
            <w:pPr>
              <w:widowControl/>
              <w:jc w:val="center"/>
              <w:rPr>
                <w:kern w:val="0"/>
                <w:sz w:val="24"/>
              </w:rPr>
            </w:pPr>
          </w:p>
        </w:tc>
        <w:tc>
          <w:tcPr>
            <w:tcW w:w="222" w:type="dxa"/>
            <w:tcBorders>
              <w:bottom w:val="single" w:color="auto" w:sz="4" w:space="0"/>
            </w:tcBorders>
            <w:vAlign w:val="center"/>
          </w:tcPr>
          <w:p w14:paraId="0BC4DE4D">
            <w:pPr>
              <w:widowControl/>
              <w:jc w:val="center"/>
              <w:rPr>
                <w:kern w:val="0"/>
                <w:sz w:val="24"/>
              </w:rPr>
            </w:pPr>
          </w:p>
        </w:tc>
        <w:tc>
          <w:tcPr>
            <w:tcW w:w="234" w:type="dxa"/>
            <w:tcBorders>
              <w:bottom w:val="single" w:color="auto" w:sz="4" w:space="0"/>
            </w:tcBorders>
            <w:vAlign w:val="center"/>
          </w:tcPr>
          <w:p w14:paraId="1A90DE48">
            <w:pPr>
              <w:widowControl/>
              <w:jc w:val="center"/>
              <w:rPr>
                <w:kern w:val="0"/>
                <w:sz w:val="24"/>
              </w:rPr>
            </w:pPr>
          </w:p>
        </w:tc>
        <w:tc>
          <w:tcPr>
            <w:tcW w:w="258" w:type="dxa"/>
            <w:tcBorders>
              <w:bottom w:val="single" w:color="auto" w:sz="4" w:space="0"/>
            </w:tcBorders>
            <w:noWrap/>
            <w:vAlign w:val="center"/>
          </w:tcPr>
          <w:p w14:paraId="42AC2D5F">
            <w:pPr>
              <w:widowControl/>
              <w:jc w:val="center"/>
              <w:rPr>
                <w:kern w:val="0"/>
                <w:sz w:val="24"/>
              </w:rPr>
            </w:pPr>
          </w:p>
        </w:tc>
        <w:tc>
          <w:tcPr>
            <w:tcW w:w="259" w:type="dxa"/>
            <w:tcBorders>
              <w:bottom w:val="single" w:color="auto" w:sz="4" w:space="0"/>
            </w:tcBorders>
            <w:vAlign w:val="center"/>
          </w:tcPr>
          <w:p w14:paraId="62557EB6">
            <w:pPr>
              <w:widowControl/>
              <w:jc w:val="center"/>
              <w:rPr>
                <w:kern w:val="0"/>
                <w:sz w:val="24"/>
              </w:rPr>
            </w:pPr>
          </w:p>
        </w:tc>
        <w:tc>
          <w:tcPr>
            <w:tcW w:w="236" w:type="dxa"/>
            <w:tcBorders>
              <w:bottom w:val="single" w:color="auto" w:sz="4" w:space="0"/>
            </w:tcBorders>
            <w:noWrap/>
            <w:vAlign w:val="center"/>
          </w:tcPr>
          <w:p w14:paraId="04EAE6DC">
            <w:pPr>
              <w:widowControl/>
              <w:jc w:val="center"/>
              <w:rPr>
                <w:kern w:val="0"/>
                <w:sz w:val="24"/>
              </w:rPr>
            </w:pPr>
          </w:p>
        </w:tc>
        <w:tc>
          <w:tcPr>
            <w:tcW w:w="259" w:type="dxa"/>
            <w:tcBorders>
              <w:bottom w:val="single" w:color="auto" w:sz="4" w:space="0"/>
            </w:tcBorders>
            <w:noWrap/>
            <w:vAlign w:val="center"/>
          </w:tcPr>
          <w:p w14:paraId="42A73820">
            <w:pPr>
              <w:widowControl/>
              <w:jc w:val="center"/>
              <w:rPr>
                <w:kern w:val="0"/>
                <w:sz w:val="24"/>
              </w:rPr>
            </w:pPr>
          </w:p>
        </w:tc>
        <w:tc>
          <w:tcPr>
            <w:tcW w:w="376" w:type="dxa"/>
            <w:gridSpan w:val="2"/>
            <w:tcBorders>
              <w:bottom w:val="single" w:color="auto" w:sz="4" w:space="0"/>
            </w:tcBorders>
            <w:noWrap/>
            <w:vAlign w:val="center"/>
          </w:tcPr>
          <w:p w14:paraId="2420F1ED">
            <w:pPr>
              <w:widowControl/>
              <w:jc w:val="center"/>
              <w:rPr>
                <w:kern w:val="0"/>
                <w:sz w:val="24"/>
              </w:rPr>
            </w:pPr>
          </w:p>
        </w:tc>
        <w:tc>
          <w:tcPr>
            <w:tcW w:w="425" w:type="dxa"/>
            <w:gridSpan w:val="2"/>
            <w:tcBorders>
              <w:bottom w:val="single" w:color="auto" w:sz="4" w:space="0"/>
            </w:tcBorders>
          </w:tcPr>
          <w:p w14:paraId="1EEDE3D2">
            <w:pPr>
              <w:widowControl/>
              <w:jc w:val="center"/>
              <w:rPr>
                <w:kern w:val="0"/>
                <w:sz w:val="24"/>
              </w:rPr>
            </w:pPr>
          </w:p>
        </w:tc>
        <w:tc>
          <w:tcPr>
            <w:tcW w:w="283" w:type="dxa"/>
            <w:tcBorders>
              <w:bottom w:val="single" w:color="auto" w:sz="4" w:space="0"/>
            </w:tcBorders>
            <w:noWrap/>
            <w:vAlign w:val="center"/>
          </w:tcPr>
          <w:p w14:paraId="2749B726">
            <w:pPr>
              <w:widowControl/>
              <w:jc w:val="center"/>
              <w:rPr>
                <w:kern w:val="0"/>
                <w:sz w:val="24"/>
              </w:rPr>
            </w:pPr>
          </w:p>
        </w:tc>
        <w:tc>
          <w:tcPr>
            <w:tcW w:w="2667" w:type="dxa"/>
            <w:vMerge w:val="restart"/>
          </w:tcPr>
          <w:p w14:paraId="5203E7B3">
            <w:pPr>
              <w:widowControl/>
              <w:rPr>
                <w:kern w:val="0"/>
              </w:rPr>
            </w:pPr>
            <w:r>
              <w:rPr>
                <w:rFonts w:hint="eastAsia"/>
                <w:kern w:val="0"/>
              </w:rPr>
              <w:t>装置</w:t>
            </w:r>
          </w:p>
        </w:tc>
      </w:tr>
      <w:tr w14:paraId="2D35D82F">
        <w:tblPrEx>
          <w:tblCellMar>
            <w:top w:w="0" w:type="dxa"/>
            <w:left w:w="108" w:type="dxa"/>
            <w:bottom w:w="0" w:type="dxa"/>
            <w:right w:w="108" w:type="dxa"/>
          </w:tblCellMar>
        </w:tblPrEx>
        <w:trPr>
          <w:trHeight w:val="177" w:hRule="exact"/>
          <w:jc w:val="center"/>
        </w:trPr>
        <w:tc>
          <w:tcPr>
            <w:tcW w:w="255" w:type="dxa"/>
            <w:noWrap/>
            <w:vAlign w:val="center"/>
          </w:tcPr>
          <w:p w14:paraId="7A67C094">
            <w:pPr>
              <w:widowControl/>
              <w:jc w:val="center"/>
              <w:rPr>
                <w:kern w:val="0"/>
                <w:sz w:val="24"/>
              </w:rPr>
            </w:pPr>
          </w:p>
        </w:tc>
        <w:tc>
          <w:tcPr>
            <w:tcW w:w="254" w:type="dxa"/>
            <w:tcBorders>
              <w:top w:val="single" w:color="auto" w:sz="4" w:space="0"/>
            </w:tcBorders>
            <w:noWrap/>
            <w:vAlign w:val="center"/>
          </w:tcPr>
          <w:p w14:paraId="7953E114">
            <w:pPr>
              <w:widowControl/>
              <w:jc w:val="center"/>
              <w:rPr>
                <w:kern w:val="0"/>
                <w:sz w:val="24"/>
              </w:rPr>
            </w:pPr>
          </w:p>
        </w:tc>
        <w:tc>
          <w:tcPr>
            <w:tcW w:w="236" w:type="dxa"/>
            <w:tcBorders>
              <w:top w:val="single" w:color="auto" w:sz="4" w:space="0"/>
            </w:tcBorders>
            <w:noWrap/>
            <w:vAlign w:val="center"/>
          </w:tcPr>
          <w:p w14:paraId="21EEAB16">
            <w:pPr>
              <w:widowControl/>
              <w:jc w:val="center"/>
              <w:rPr>
                <w:kern w:val="0"/>
                <w:sz w:val="24"/>
              </w:rPr>
            </w:pPr>
          </w:p>
        </w:tc>
        <w:tc>
          <w:tcPr>
            <w:tcW w:w="222" w:type="dxa"/>
            <w:tcBorders>
              <w:top w:val="single" w:color="auto" w:sz="4" w:space="0"/>
            </w:tcBorders>
            <w:vAlign w:val="center"/>
          </w:tcPr>
          <w:p w14:paraId="5C263758">
            <w:pPr>
              <w:widowControl/>
              <w:jc w:val="center"/>
              <w:rPr>
                <w:kern w:val="0"/>
                <w:sz w:val="24"/>
              </w:rPr>
            </w:pPr>
          </w:p>
        </w:tc>
        <w:tc>
          <w:tcPr>
            <w:tcW w:w="222" w:type="dxa"/>
            <w:tcBorders>
              <w:top w:val="single" w:color="auto" w:sz="4" w:space="0"/>
            </w:tcBorders>
            <w:vAlign w:val="center"/>
          </w:tcPr>
          <w:p w14:paraId="41260854">
            <w:pPr>
              <w:widowControl/>
              <w:jc w:val="center"/>
              <w:rPr>
                <w:kern w:val="0"/>
                <w:sz w:val="24"/>
              </w:rPr>
            </w:pPr>
          </w:p>
        </w:tc>
        <w:tc>
          <w:tcPr>
            <w:tcW w:w="234" w:type="dxa"/>
            <w:tcBorders>
              <w:top w:val="single" w:color="auto" w:sz="4" w:space="0"/>
            </w:tcBorders>
            <w:vAlign w:val="center"/>
          </w:tcPr>
          <w:p w14:paraId="6B1A64CA">
            <w:pPr>
              <w:widowControl/>
              <w:jc w:val="center"/>
              <w:rPr>
                <w:kern w:val="0"/>
                <w:sz w:val="24"/>
              </w:rPr>
            </w:pPr>
          </w:p>
        </w:tc>
        <w:tc>
          <w:tcPr>
            <w:tcW w:w="258" w:type="dxa"/>
            <w:tcBorders>
              <w:top w:val="single" w:color="auto" w:sz="4" w:space="0"/>
            </w:tcBorders>
            <w:noWrap/>
            <w:vAlign w:val="center"/>
          </w:tcPr>
          <w:p w14:paraId="6E999743">
            <w:pPr>
              <w:widowControl/>
              <w:jc w:val="center"/>
              <w:rPr>
                <w:kern w:val="0"/>
                <w:sz w:val="24"/>
              </w:rPr>
            </w:pPr>
          </w:p>
        </w:tc>
        <w:tc>
          <w:tcPr>
            <w:tcW w:w="259" w:type="dxa"/>
            <w:tcBorders>
              <w:top w:val="single" w:color="auto" w:sz="4" w:space="0"/>
            </w:tcBorders>
            <w:vAlign w:val="center"/>
          </w:tcPr>
          <w:p w14:paraId="154CC52D">
            <w:pPr>
              <w:widowControl/>
              <w:jc w:val="center"/>
              <w:rPr>
                <w:kern w:val="0"/>
                <w:sz w:val="24"/>
              </w:rPr>
            </w:pPr>
          </w:p>
        </w:tc>
        <w:tc>
          <w:tcPr>
            <w:tcW w:w="236" w:type="dxa"/>
            <w:tcBorders>
              <w:top w:val="single" w:color="auto" w:sz="4" w:space="0"/>
            </w:tcBorders>
            <w:noWrap/>
            <w:vAlign w:val="center"/>
          </w:tcPr>
          <w:p w14:paraId="3D350F1D">
            <w:pPr>
              <w:widowControl/>
              <w:jc w:val="center"/>
              <w:rPr>
                <w:kern w:val="0"/>
                <w:sz w:val="24"/>
              </w:rPr>
            </w:pPr>
          </w:p>
        </w:tc>
        <w:tc>
          <w:tcPr>
            <w:tcW w:w="259" w:type="dxa"/>
            <w:tcBorders>
              <w:top w:val="single" w:color="auto" w:sz="4" w:space="0"/>
            </w:tcBorders>
            <w:noWrap/>
            <w:vAlign w:val="center"/>
          </w:tcPr>
          <w:p w14:paraId="3791951E">
            <w:pPr>
              <w:widowControl/>
              <w:jc w:val="center"/>
              <w:rPr>
                <w:kern w:val="0"/>
                <w:sz w:val="24"/>
              </w:rPr>
            </w:pPr>
          </w:p>
        </w:tc>
        <w:tc>
          <w:tcPr>
            <w:tcW w:w="376" w:type="dxa"/>
            <w:gridSpan w:val="2"/>
            <w:tcBorders>
              <w:top w:val="single" w:color="auto" w:sz="4" w:space="0"/>
            </w:tcBorders>
            <w:noWrap/>
            <w:vAlign w:val="center"/>
          </w:tcPr>
          <w:p w14:paraId="6712619C">
            <w:pPr>
              <w:widowControl/>
              <w:jc w:val="center"/>
              <w:rPr>
                <w:kern w:val="0"/>
                <w:sz w:val="24"/>
              </w:rPr>
            </w:pPr>
          </w:p>
        </w:tc>
        <w:tc>
          <w:tcPr>
            <w:tcW w:w="425" w:type="dxa"/>
            <w:gridSpan w:val="2"/>
            <w:tcBorders>
              <w:top w:val="single" w:color="auto" w:sz="4" w:space="0"/>
            </w:tcBorders>
          </w:tcPr>
          <w:p w14:paraId="473782FA">
            <w:pPr>
              <w:widowControl/>
              <w:jc w:val="center"/>
              <w:rPr>
                <w:kern w:val="0"/>
                <w:sz w:val="24"/>
              </w:rPr>
            </w:pPr>
          </w:p>
        </w:tc>
        <w:tc>
          <w:tcPr>
            <w:tcW w:w="283" w:type="dxa"/>
            <w:tcBorders>
              <w:top w:val="single" w:color="auto" w:sz="4" w:space="0"/>
            </w:tcBorders>
            <w:noWrap/>
            <w:vAlign w:val="center"/>
          </w:tcPr>
          <w:p w14:paraId="37A87A7A">
            <w:pPr>
              <w:widowControl/>
              <w:jc w:val="center"/>
              <w:rPr>
                <w:kern w:val="0"/>
                <w:sz w:val="24"/>
              </w:rPr>
            </w:pPr>
          </w:p>
        </w:tc>
        <w:tc>
          <w:tcPr>
            <w:tcW w:w="2667" w:type="dxa"/>
            <w:vMerge w:val="continue"/>
          </w:tcPr>
          <w:p w14:paraId="556F6300">
            <w:pPr>
              <w:widowControl/>
              <w:rPr>
                <w:kern w:val="0"/>
              </w:rPr>
            </w:pPr>
          </w:p>
        </w:tc>
      </w:tr>
    </w:tbl>
    <w:p w14:paraId="05B34D1B">
      <w:pPr>
        <w:pStyle w:val="184"/>
      </w:pPr>
      <w:r>
        <w:rPr>
          <w:rFonts w:hint="eastAsia"/>
        </w:rPr>
        <w:t>额定工作电压为</w:t>
      </w:r>
      <w:r>
        <w:rPr>
          <w:rFonts w:ascii="Times New Roman"/>
        </w:rPr>
        <w:t>AC 127 V</w:t>
      </w:r>
      <w:r>
        <w:rPr>
          <w:rFonts w:hint="eastAsia"/>
        </w:rPr>
        <w:t>的矿用刮板输送机断链监测装置表示为：ZDJ127。</w:t>
      </w:r>
    </w:p>
    <w:p w14:paraId="4AA1C9F8">
      <w:pPr>
        <w:pStyle w:val="108"/>
        <w:spacing w:before="120" w:after="120"/>
      </w:pPr>
      <w:bookmarkStart w:id="61" w:name="_Toc230201908"/>
      <w:bookmarkStart w:id="62" w:name="_Toc230201979"/>
      <w:bookmarkStart w:id="63" w:name="_Toc230201942"/>
      <w:r>
        <w:rPr>
          <w:rFonts w:hint="eastAsia"/>
        </w:rPr>
        <w:t>监测装置构成</w:t>
      </w:r>
      <w:bookmarkEnd w:id="61"/>
      <w:bookmarkEnd w:id="62"/>
      <w:bookmarkEnd w:id="63"/>
    </w:p>
    <w:p w14:paraId="3BCDFBAC">
      <w:pPr>
        <w:pStyle w:val="168"/>
        <w:numPr>
          <w:ilvl w:val="3"/>
          <w:numId w:val="0"/>
        </w:numPr>
        <w:ind w:firstLine="420" w:firstLineChars="200"/>
      </w:pPr>
      <w:r>
        <w:rPr>
          <w:rFonts w:hint="eastAsia"/>
        </w:rPr>
        <w:t>监测装置至少应包括矿用隔爆兼本质安全型稳压电源（以下简称电源）、矿用本安型刮板机断链监测装置采集器（以下简称采集器）、矿用本安型物位传感器（以下简称物位传感器）、电缆及其他附件。根据功能拓展需要，可配置其他类型检测单元、传感器或通信接口模块。</w:t>
      </w:r>
    </w:p>
    <w:p w14:paraId="683CC162">
      <w:pPr>
        <w:pStyle w:val="107"/>
        <w:spacing w:before="240" w:after="240"/>
      </w:pPr>
      <w:bookmarkStart w:id="64" w:name="_Toc230201909"/>
      <w:bookmarkStart w:id="65" w:name="_Toc230201980"/>
      <w:bookmarkStart w:id="66" w:name="_Toc230201943"/>
      <w:r>
        <w:rPr>
          <w:rFonts w:hint="eastAsia"/>
        </w:rPr>
        <w:t>技术要求</w:t>
      </w:r>
      <w:bookmarkEnd w:id="64"/>
      <w:bookmarkEnd w:id="65"/>
      <w:bookmarkEnd w:id="66"/>
    </w:p>
    <w:p w14:paraId="7DD3CCE0">
      <w:pPr>
        <w:pStyle w:val="108"/>
        <w:spacing w:before="120" w:after="120"/>
      </w:pPr>
      <w:bookmarkStart w:id="67" w:name="_Toc230201944"/>
      <w:bookmarkStart w:id="68" w:name="_Toc230201910"/>
      <w:bookmarkStart w:id="69" w:name="_Toc230201981"/>
      <w:r>
        <w:rPr>
          <w:rFonts w:hint="eastAsia"/>
        </w:rPr>
        <w:t>一般要求</w:t>
      </w:r>
      <w:bookmarkEnd w:id="67"/>
      <w:bookmarkEnd w:id="68"/>
      <w:bookmarkEnd w:id="69"/>
    </w:p>
    <w:p w14:paraId="4167AC61">
      <w:pPr>
        <w:pStyle w:val="168"/>
      </w:pPr>
      <w:r>
        <w:rPr>
          <w:rFonts w:hint="eastAsia"/>
        </w:rPr>
        <w:t>产品应符合本文件的规定，并按照经过规定程序批准的图样和技术文件制造。</w:t>
      </w:r>
    </w:p>
    <w:p w14:paraId="414CDA95">
      <w:pPr>
        <w:pStyle w:val="168"/>
      </w:pPr>
      <w:r>
        <w:rPr>
          <w:rFonts w:hint="eastAsia"/>
        </w:rPr>
        <w:t>标准件、外购件和外制件应有合格证并按有关技术文件验收合格后方可组装。</w:t>
      </w:r>
    </w:p>
    <w:p w14:paraId="3C6A5BB3">
      <w:pPr>
        <w:pStyle w:val="168"/>
      </w:pPr>
      <w:r>
        <w:rPr>
          <w:rFonts w:hint="eastAsia"/>
        </w:rPr>
        <w:t>各部件之间的连接应安全可靠，紧固件应有防松措施。</w:t>
      </w:r>
    </w:p>
    <w:p w14:paraId="574CA623">
      <w:pPr>
        <w:pStyle w:val="168"/>
      </w:pPr>
      <w:r>
        <w:rPr>
          <w:rFonts w:hint="eastAsia"/>
        </w:rPr>
        <w:t>所涉及的</w:t>
      </w:r>
      <w:bookmarkStart w:id="70" w:name="OLE_LINK1"/>
      <w:r>
        <w:rPr>
          <w:rFonts w:hint="eastAsia"/>
        </w:rPr>
        <w:t>有防爆要求的矿用产品</w:t>
      </w:r>
      <w:bookmarkEnd w:id="70"/>
      <w:r>
        <w:rPr>
          <w:rFonts w:hint="eastAsia"/>
        </w:rPr>
        <w:t>应具备防爆合格证及矿用产品安全标志证书，并均应在有效期内。</w:t>
      </w:r>
    </w:p>
    <w:p w14:paraId="328E6AD3">
      <w:pPr>
        <w:pStyle w:val="108"/>
        <w:spacing w:before="120" w:after="120"/>
      </w:pPr>
      <w:bookmarkStart w:id="71" w:name="_Toc230201911"/>
      <w:bookmarkStart w:id="72" w:name="_Toc230201945"/>
      <w:bookmarkStart w:id="73" w:name="_Toc230201982"/>
      <w:r>
        <w:rPr>
          <w:rFonts w:hint="eastAsia"/>
        </w:rPr>
        <w:t>环境条件</w:t>
      </w:r>
      <w:bookmarkEnd w:id="71"/>
      <w:bookmarkEnd w:id="72"/>
      <w:bookmarkEnd w:id="73"/>
    </w:p>
    <w:p w14:paraId="1CA4FFE4">
      <w:pPr>
        <w:pStyle w:val="59"/>
        <w:ind w:firstLine="420"/>
      </w:pPr>
      <w:r>
        <w:rPr>
          <w:rFonts w:hint="eastAsia"/>
        </w:rPr>
        <w:t>装置应在下列环境条件下能正常工作：</w:t>
      </w:r>
    </w:p>
    <w:p w14:paraId="00F97C23">
      <w:pPr>
        <w:pStyle w:val="177"/>
      </w:pPr>
      <w:r>
        <w:rPr>
          <w:rFonts w:hint="eastAsia"/>
        </w:rPr>
        <w:t>环境温度：</w:t>
      </w:r>
      <w:r>
        <w:rPr>
          <w:rFonts w:ascii="Times New Roman"/>
        </w:rPr>
        <w:t>0 ℃～40 ℃</w:t>
      </w:r>
      <w:r>
        <w:rPr>
          <w:rFonts w:hint="eastAsia"/>
        </w:rPr>
        <w:t>；</w:t>
      </w:r>
    </w:p>
    <w:p w14:paraId="7E1C07EE">
      <w:pPr>
        <w:pStyle w:val="177"/>
      </w:pPr>
      <w:r>
        <w:rPr>
          <w:rFonts w:hint="eastAsia"/>
        </w:rPr>
        <w:t>平均相对湿度：不大于</w:t>
      </w:r>
      <w:r>
        <w:rPr>
          <w:rFonts w:ascii="Times New Roman"/>
        </w:rPr>
        <w:t xml:space="preserve"> 95% （+25 ℃）</w:t>
      </w:r>
      <w:r>
        <w:rPr>
          <w:rFonts w:hint="eastAsia"/>
        </w:rPr>
        <w:t>；</w:t>
      </w:r>
    </w:p>
    <w:p w14:paraId="14691EAA">
      <w:pPr>
        <w:pStyle w:val="177"/>
      </w:pPr>
      <w:r>
        <w:rPr>
          <w:rFonts w:hint="eastAsia"/>
        </w:rPr>
        <w:t>大气压力：</w:t>
      </w:r>
      <w:r>
        <w:rPr>
          <w:rFonts w:ascii="Times New Roman"/>
        </w:rPr>
        <w:t>80 kPa～106 kPa</w:t>
      </w:r>
      <w:r>
        <w:rPr>
          <w:rFonts w:hint="eastAsia"/>
        </w:rPr>
        <w:t>；</w:t>
      </w:r>
    </w:p>
    <w:p w14:paraId="1FCA1FAD">
      <w:pPr>
        <w:pStyle w:val="177"/>
      </w:pPr>
      <w:r>
        <w:rPr>
          <w:rFonts w:hint="eastAsia"/>
        </w:rPr>
        <w:t>无显著振动和冲击的场合；无直接滴水、淋水的场合；</w:t>
      </w:r>
    </w:p>
    <w:p w14:paraId="282DE101">
      <w:pPr>
        <w:pStyle w:val="177"/>
      </w:pPr>
      <w:r>
        <w:rPr>
          <w:rFonts w:hint="eastAsia"/>
        </w:rPr>
        <w:t>煤矿井下有甲烷、煤尘爆炸性混合物，但无破坏绝缘的腐蚀性气体的场所。</w:t>
      </w:r>
    </w:p>
    <w:p w14:paraId="031D9CD6">
      <w:pPr>
        <w:pStyle w:val="108"/>
        <w:spacing w:before="120" w:after="120"/>
      </w:pPr>
      <w:bookmarkStart w:id="74" w:name="_Toc230201983"/>
      <w:bookmarkStart w:id="75" w:name="_Toc230201946"/>
      <w:bookmarkStart w:id="76" w:name="_Toc230201912"/>
      <w:r>
        <w:rPr>
          <w:rFonts w:hint="eastAsia"/>
        </w:rPr>
        <w:t>供电电源</w:t>
      </w:r>
      <w:bookmarkEnd w:id="74"/>
      <w:bookmarkEnd w:id="75"/>
      <w:bookmarkEnd w:id="76"/>
    </w:p>
    <w:p w14:paraId="22167D6F">
      <w:pPr>
        <w:pStyle w:val="168"/>
      </w:pPr>
      <w:r>
        <w:rPr>
          <w:rFonts w:hint="eastAsia"/>
        </w:rPr>
        <w:t>额定工作电压：</w:t>
      </w:r>
      <w:r>
        <w:rPr>
          <w:rFonts w:ascii="Times New Roman"/>
        </w:rPr>
        <w:t>AC 127 V</w:t>
      </w:r>
      <w:r>
        <w:rPr>
          <w:rFonts w:hint="eastAsia"/>
        </w:rPr>
        <w:t>，允许偏差</w:t>
      </w:r>
      <w:r>
        <w:rPr>
          <w:rFonts w:ascii="Times New Roman"/>
        </w:rPr>
        <w:t>-25%～+10%</w:t>
      </w:r>
      <w:r>
        <w:rPr>
          <w:rFonts w:hint="eastAsia"/>
        </w:rPr>
        <w:t>，总谐波畸变率</w:t>
      </w:r>
      <w:r>
        <w:rPr>
          <w:rFonts w:ascii="Times New Roman"/>
        </w:rPr>
        <w:t>≤10%</w:t>
      </w:r>
      <w:r>
        <w:rPr>
          <w:rFonts w:hint="eastAsia"/>
        </w:rPr>
        <w:t>。</w:t>
      </w:r>
    </w:p>
    <w:p w14:paraId="53D6CDF0">
      <w:pPr>
        <w:pStyle w:val="168"/>
      </w:pPr>
      <w:r>
        <w:rPr>
          <w:rFonts w:hint="eastAsia"/>
        </w:rPr>
        <w:t>频率：</w:t>
      </w:r>
      <w:r>
        <w:rPr>
          <w:rFonts w:ascii="Times New Roman"/>
        </w:rPr>
        <w:t>50 Hz</w:t>
      </w:r>
      <w:r>
        <w:rPr>
          <w:rFonts w:hint="eastAsia"/>
        </w:rPr>
        <w:t>，允许偏差</w:t>
      </w:r>
      <w:r>
        <w:rPr>
          <w:rFonts w:ascii="Times New Roman"/>
        </w:rPr>
        <w:t>±5%</w:t>
      </w:r>
      <w:r>
        <w:rPr>
          <w:rFonts w:hint="eastAsia"/>
        </w:rPr>
        <w:t>。</w:t>
      </w:r>
    </w:p>
    <w:p w14:paraId="72A74D05">
      <w:pPr>
        <w:pStyle w:val="108"/>
        <w:spacing w:before="120" w:after="120"/>
      </w:pPr>
      <w:bookmarkStart w:id="77" w:name="_Toc230201984"/>
      <w:bookmarkStart w:id="78" w:name="_Toc230201947"/>
      <w:bookmarkStart w:id="79" w:name="_Toc230201913"/>
      <w:r>
        <w:rPr>
          <w:rFonts w:hint="eastAsia"/>
        </w:rPr>
        <w:t>主要技术要求</w:t>
      </w:r>
      <w:bookmarkEnd w:id="77"/>
      <w:bookmarkEnd w:id="78"/>
      <w:bookmarkEnd w:id="79"/>
    </w:p>
    <w:p w14:paraId="1742BB0B">
      <w:pPr>
        <w:pStyle w:val="68"/>
        <w:spacing w:before="120" w:after="120"/>
      </w:pPr>
      <w:bookmarkStart w:id="80" w:name="_Toc230201948"/>
      <w:r>
        <w:rPr>
          <w:rFonts w:hint="eastAsia"/>
        </w:rPr>
        <w:t>基本功能</w:t>
      </w:r>
      <w:bookmarkEnd w:id="80"/>
    </w:p>
    <w:p w14:paraId="760E6325">
      <w:pPr>
        <w:pStyle w:val="167"/>
      </w:pPr>
      <w:r>
        <w:rPr>
          <w:rFonts w:hint="eastAsia"/>
        </w:rPr>
        <w:t>监测装置应具有数据采集、处理、显示功能，数据采集转换误差</w:t>
      </w:r>
      <w:r>
        <w:rPr>
          <w:rFonts w:ascii="Times New Roman"/>
        </w:rPr>
        <w:t>±1%（F.S）</w:t>
      </w:r>
      <w:r>
        <w:rPr>
          <w:rFonts w:hint="eastAsia"/>
        </w:rPr>
        <w:t>。</w:t>
      </w:r>
    </w:p>
    <w:p w14:paraId="20FE6D97">
      <w:pPr>
        <w:pStyle w:val="167"/>
      </w:pPr>
      <w:r>
        <w:rPr>
          <w:rFonts w:hint="eastAsia"/>
        </w:rPr>
        <w:t>监测装置应具备人机交互功能。</w:t>
      </w:r>
    </w:p>
    <w:p w14:paraId="5BBF0A1A">
      <w:pPr>
        <w:pStyle w:val="167"/>
      </w:pPr>
      <w:r>
        <w:rPr>
          <w:rFonts w:hint="eastAsia"/>
        </w:rPr>
        <w:t>监测装置应具有断链报警功能。当监测到链条断裂时，应在采集器上显示断链报警状态，并输出报警信号。</w:t>
      </w:r>
    </w:p>
    <w:p w14:paraId="4AF375E4">
      <w:pPr>
        <w:pStyle w:val="167"/>
      </w:pPr>
      <w:r>
        <w:rPr>
          <w:rFonts w:hint="eastAsia"/>
        </w:rPr>
        <w:t>监测装置应具有通信功能。通信接口宜采用无线通讯、RS485、以太网、CAN中的一种或几种；通信协议宜采用Modbus-RTU、Modbus-TCP、CANopen中的一种或几种。</w:t>
      </w:r>
    </w:p>
    <w:p w14:paraId="78FE7BA0">
      <w:pPr>
        <w:pStyle w:val="68"/>
        <w:spacing w:before="120" w:after="120"/>
      </w:pPr>
      <w:bookmarkStart w:id="81" w:name="_Toc230201949"/>
      <w:r>
        <w:rPr>
          <w:rFonts w:hint="eastAsia"/>
        </w:rPr>
        <w:t>本安供电距离</w:t>
      </w:r>
      <w:bookmarkEnd w:id="81"/>
    </w:p>
    <w:p w14:paraId="55D9941F">
      <w:pPr>
        <w:pStyle w:val="59"/>
        <w:ind w:firstLine="420"/>
      </w:pPr>
      <w:r>
        <w:rPr>
          <w:rFonts w:hint="eastAsia"/>
        </w:rPr>
        <w:t>监测装置中采集器由电源供电，最大供电距离应不小于20 m，物位传感器由采集器供电，最大供电距离应不小于5 m。</w:t>
      </w:r>
    </w:p>
    <w:p w14:paraId="171451CA">
      <w:pPr>
        <w:pStyle w:val="108"/>
        <w:spacing w:before="120" w:after="120"/>
      </w:pPr>
      <w:bookmarkStart w:id="82" w:name="_Toc230201914"/>
      <w:bookmarkStart w:id="83" w:name="_Toc230201985"/>
      <w:bookmarkStart w:id="84" w:name="_Toc230201950"/>
      <w:r>
        <w:rPr>
          <w:rFonts w:hint="eastAsia"/>
        </w:rPr>
        <w:t>电源波动适应能力</w:t>
      </w:r>
      <w:bookmarkEnd w:id="82"/>
      <w:bookmarkEnd w:id="83"/>
      <w:bookmarkEnd w:id="84"/>
    </w:p>
    <w:p w14:paraId="019274C6">
      <w:pPr>
        <w:pStyle w:val="59"/>
        <w:ind w:firstLine="420"/>
      </w:pPr>
      <w:r>
        <w:rPr>
          <w:rFonts w:hint="eastAsia"/>
        </w:rPr>
        <w:t>输入电压在额定工作电压75%～110%的范围内变化时，装置应能正常工作，主要技术要求应符合 5.4的</w:t>
      </w:r>
      <w:r>
        <w:rPr>
          <w:rStyle w:val="35"/>
          <w:rFonts w:hint="eastAsia" w:ascii="Calibri" w:hAnsi="Calibri"/>
          <w:kern w:val="2"/>
        </w:rPr>
        <w:t>规定</w:t>
      </w:r>
      <w:r>
        <w:rPr>
          <w:rFonts w:hint="eastAsia"/>
        </w:rPr>
        <w:t>。</w:t>
      </w:r>
    </w:p>
    <w:p w14:paraId="6A9680DB">
      <w:pPr>
        <w:pStyle w:val="108"/>
        <w:spacing w:before="120" w:after="120"/>
      </w:pPr>
      <w:bookmarkStart w:id="85" w:name="_Toc230201951"/>
      <w:bookmarkStart w:id="86" w:name="_Toc230201986"/>
      <w:bookmarkStart w:id="87" w:name="_Toc230201915"/>
      <w:r>
        <w:rPr>
          <w:rFonts w:hint="eastAsia"/>
        </w:rPr>
        <w:t>工作稳定性</w:t>
      </w:r>
      <w:bookmarkEnd w:id="85"/>
      <w:bookmarkEnd w:id="86"/>
      <w:bookmarkEnd w:id="87"/>
    </w:p>
    <w:p w14:paraId="2ADA42DA">
      <w:pPr>
        <w:pStyle w:val="59"/>
        <w:ind w:firstLine="420"/>
      </w:pPr>
      <w:r>
        <w:rPr>
          <w:rFonts w:hint="eastAsia"/>
        </w:rPr>
        <w:t>监测装置连续工作2 d，期间间隔24 h测试一次，主要技术要求应符合5.4的规定。</w:t>
      </w:r>
    </w:p>
    <w:p w14:paraId="12437CB7">
      <w:pPr>
        <w:pStyle w:val="108"/>
        <w:spacing w:before="120" w:after="120"/>
      </w:pPr>
      <w:bookmarkStart w:id="88" w:name="_Toc230201952"/>
      <w:bookmarkStart w:id="89" w:name="_Toc230201987"/>
      <w:bookmarkStart w:id="90" w:name="_Toc230201916"/>
      <w:r>
        <w:rPr>
          <w:rFonts w:hint="eastAsia"/>
        </w:rPr>
        <w:t>防爆要求</w:t>
      </w:r>
      <w:bookmarkEnd w:id="88"/>
      <w:bookmarkEnd w:id="89"/>
      <w:bookmarkEnd w:id="90"/>
    </w:p>
    <w:p w14:paraId="421431F3">
      <w:pPr>
        <w:pStyle w:val="168"/>
      </w:pPr>
      <w:bookmarkStart w:id="91" w:name="OLE_LINK3"/>
      <w:r>
        <w:rPr>
          <w:rFonts w:hint="eastAsia"/>
        </w:rPr>
        <w:t>监测装置中有防爆要求的各零部件</w:t>
      </w:r>
      <w:bookmarkEnd w:id="91"/>
      <w:r>
        <w:rPr>
          <w:rFonts w:hint="eastAsia"/>
        </w:rPr>
        <w:t>应符合</w:t>
      </w:r>
      <w:r>
        <w:rPr>
          <w:rFonts w:hint="eastAsia" w:hAnsi="宋体" w:cs="宋体"/>
        </w:rPr>
        <w:t>GB/T 3836.1、GB/T 3836.2及GB/T 3836.4</w:t>
      </w:r>
      <w:r>
        <w:rPr>
          <w:rFonts w:hint="eastAsia"/>
        </w:rPr>
        <w:t>的相关规定，其图样及产品必须经过指定的检验单位检验，并取得“防爆合格证”及“矿用产品安全标志证书”，零部件的防爆合格证及矿用产品安全标志证书均应在有效期内。</w:t>
      </w:r>
    </w:p>
    <w:p w14:paraId="1BCD1D55">
      <w:pPr>
        <w:pStyle w:val="168"/>
      </w:pPr>
      <w:r>
        <w:rPr>
          <w:rFonts w:hint="eastAsia"/>
        </w:rPr>
        <w:t>监测装置须通过本安联检试验。</w:t>
      </w:r>
    </w:p>
    <w:p w14:paraId="26EB087E">
      <w:pPr>
        <w:pStyle w:val="108"/>
        <w:spacing w:before="120" w:after="120"/>
      </w:pPr>
      <w:bookmarkStart w:id="92" w:name="_Toc230201988"/>
      <w:bookmarkStart w:id="93" w:name="_Toc230201917"/>
      <w:bookmarkStart w:id="94" w:name="_Toc230201953"/>
      <w:r>
        <w:rPr>
          <w:rFonts w:hint="eastAsia"/>
        </w:rPr>
        <w:t>主要零部件技术要求</w:t>
      </w:r>
      <w:bookmarkEnd w:id="92"/>
      <w:bookmarkEnd w:id="93"/>
      <w:bookmarkEnd w:id="94"/>
    </w:p>
    <w:p w14:paraId="21B18F9C">
      <w:pPr>
        <w:pStyle w:val="68"/>
        <w:spacing w:before="120" w:after="120"/>
      </w:pPr>
      <w:r>
        <w:rPr>
          <w:rFonts w:hint="eastAsia"/>
        </w:rPr>
        <w:t>采集器</w:t>
      </w:r>
    </w:p>
    <w:p w14:paraId="33DF123D">
      <w:pPr>
        <w:pStyle w:val="167"/>
      </w:pPr>
      <w:r>
        <w:rPr>
          <w:rFonts w:hint="eastAsia"/>
        </w:rPr>
        <w:t>应具备人机交互、声光报警、数据交互等单元模块。</w:t>
      </w:r>
    </w:p>
    <w:p w14:paraId="0FCB7B57">
      <w:pPr>
        <w:pStyle w:val="167"/>
      </w:pPr>
      <w:r>
        <w:rPr>
          <w:rFonts w:hint="eastAsia"/>
        </w:rPr>
        <w:t>人机交互单元应配置操作按键，且至少配备显示屏或状态提示灯中的一种。</w:t>
      </w:r>
    </w:p>
    <w:p w14:paraId="0C476F88">
      <w:pPr>
        <w:pStyle w:val="167"/>
      </w:pPr>
      <w:r>
        <w:rPr>
          <w:rFonts w:hint="eastAsia"/>
        </w:rPr>
        <w:t>应具备接收、处理传感器数据的功能。</w:t>
      </w:r>
    </w:p>
    <w:p w14:paraId="2B8E6D5A">
      <w:pPr>
        <w:pStyle w:val="167"/>
      </w:pPr>
      <w:r>
        <w:rPr>
          <w:rFonts w:hint="eastAsia"/>
        </w:rPr>
        <w:t>应具备开放的通信接口，宜采用无线通讯、RS485、以太网、CAN中的一种或几种；通信协议宜采用Modbus-RTU、Modbus-TCP、CANopen中的一种或几种。</w:t>
      </w:r>
    </w:p>
    <w:p w14:paraId="1205F156">
      <w:pPr>
        <w:pStyle w:val="68"/>
        <w:spacing w:before="120" w:after="120"/>
      </w:pPr>
      <w:r>
        <w:rPr>
          <w:rFonts w:hint="eastAsia"/>
        </w:rPr>
        <w:t>矿用本安型物位传感器</w:t>
      </w:r>
    </w:p>
    <w:p w14:paraId="09082957">
      <w:pPr>
        <w:pStyle w:val="167"/>
      </w:pPr>
      <w:r>
        <w:rPr>
          <w:rFonts w:hint="eastAsia"/>
        </w:rPr>
        <w:t>应能实时检测刮板输送机链条运行通过信号，以电压信号、电流信号、开关量信号中的一种或几种输出。</w:t>
      </w:r>
    </w:p>
    <w:p w14:paraId="1926B1D2">
      <w:pPr>
        <w:pStyle w:val="167"/>
      </w:pPr>
      <w:r>
        <w:rPr>
          <w:rFonts w:hint="eastAsia"/>
        </w:rPr>
        <w:t>应具备信号传输功能，传输距离不小于</w:t>
      </w:r>
      <w:r>
        <w:rPr>
          <w:rFonts w:ascii="Times New Roman"/>
        </w:rPr>
        <w:t>5 m</w:t>
      </w:r>
      <w:r>
        <w:rPr>
          <w:rFonts w:hint="eastAsia"/>
        </w:rPr>
        <w:t>。</w:t>
      </w:r>
    </w:p>
    <w:p w14:paraId="7C807624">
      <w:pPr>
        <w:pStyle w:val="167"/>
      </w:pPr>
      <w:r>
        <w:rPr>
          <w:rFonts w:hint="eastAsia"/>
        </w:rPr>
        <w:t>传感器感应距离不低于</w:t>
      </w:r>
      <w:r>
        <w:rPr>
          <w:rFonts w:ascii="Times New Roman"/>
        </w:rPr>
        <w:t>10 mm</w:t>
      </w:r>
      <w:r>
        <w:rPr>
          <w:rFonts w:hint="eastAsia"/>
        </w:rPr>
        <w:t>。</w:t>
      </w:r>
    </w:p>
    <w:p w14:paraId="67412D66">
      <w:pPr>
        <w:pStyle w:val="107"/>
        <w:spacing w:before="240" w:after="240"/>
      </w:pPr>
      <w:bookmarkStart w:id="95" w:name="_Toc230201954"/>
      <w:bookmarkStart w:id="96" w:name="_Toc230201918"/>
      <w:bookmarkStart w:id="97" w:name="_Toc230201989"/>
      <w:r>
        <w:rPr>
          <w:rFonts w:hint="eastAsia"/>
        </w:rPr>
        <w:t>试验方法</w:t>
      </w:r>
      <w:bookmarkEnd w:id="95"/>
      <w:bookmarkEnd w:id="96"/>
      <w:bookmarkEnd w:id="97"/>
    </w:p>
    <w:p w14:paraId="4A7798AA">
      <w:pPr>
        <w:pStyle w:val="108"/>
        <w:spacing w:before="120" w:after="120"/>
      </w:pPr>
      <w:bookmarkStart w:id="98" w:name="_Toc230201919"/>
      <w:bookmarkStart w:id="99" w:name="_Toc230201990"/>
      <w:bookmarkStart w:id="100" w:name="_Toc230201955"/>
      <w:r>
        <w:rPr>
          <w:rFonts w:hint="eastAsia"/>
        </w:rPr>
        <w:t>试验环境条件</w:t>
      </w:r>
      <w:bookmarkEnd w:id="98"/>
      <w:bookmarkEnd w:id="99"/>
      <w:bookmarkEnd w:id="100"/>
    </w:p>
    <w:p w14:paraId="6928A033">
      <w:pPr>
        <w:adjustRightInd/>
        <w:spacing w:line="240" w:lineRule="auto"/>
        <w:ind w:firstLine="420" w:firstLineChars="200"/>
        <w:rPr>
          <w:rFonts w:hint="eastAsia" w:ascii="宋体" w:hAnsi="宋体"/>
        </w:rPr>
      </w:pPr>
      <w:r>
        <w:rPr>
          <w:rFonts w:hint="eastAsia" w:ascii="宋体" w:hAnsi="宋体"/>
        </w:rPr>
        <w:t>除环境试验或有关标准另有规定外，试验应在下列环境条件下进行：</w:t>
      </w:r>
    </w:p>
    <w:p w14:paraId="5696BAB0">
      <w:pPr>
        <w:pStyle w:val="177"/>
        <w:numPr>
          <w:ilvl w:val="0"/>
          <w:numId w:val="32"/>
        </w:numPr>
      </w:pPr>
      <w:r>
        <w:rPr>
          <w:rFonts w:hint="eastAsia"/>
        </w:rPr>
        <w:t>温度：</w:t>
      </w:r>
      <w:r>
        <w:rPr>
          <w:rFonts w:ascii="Times New Roman"/>
        </w:rPr>
        <w:t>15 ℃～+35 ℃</w:t>
      </w:r>
      <w:r>
        <w:rPr>
          <w:rFonts w:hint="eastAsia"/>
        </w:rPr>
        <w:t>；</w:t>
      </w:r>
    </w:p>
    <w:p w14:paraId="6F84DCEF">
      <w:pPr>
        <w:pStyle w:val="177"/>
        <w:numPr>
          <w:ilvl w:val="0"/>
          <w:numId w:val="32"/>
        </w:numPr>
      </w:pPr>
      <w:r>
        <w:rPr>
          <w:rFonts w:hint="eastAsia"/>
        </w:rPr>
        <w:t>相对湿度：</w:t>
      </w:r>
      <w:r>
        <w:rPr>
          <w:rFonts w:ascii="Times New Roman"/>
        </w:rPr>
        <w:t>45%</w:t>
      </w:r>
      <w:bookmarkStart w:id="101" w:name="OLE_LINK2"/>
      <w:r>
        <w:rPr>
          <w:rFonts w:ascii="Times New Roman"/>
        </w:rPr>
        <w:t>～</w:t>
      </w:r>
      <w:bookmarkEnd w:id="101"/>
      <w:r>
        <w:rPr>
          <w:rFonts w:ascii="Times New Roman"/>
        </w:rPr>
        <w:t>75%</w:t>
      </w:r>
      <w:r>
        <w:rPr>
          <w:rFonts w:hint="eastAsia"/>
        </w:rPr>
        <w:t>；</w:t>
      </w:r>
    </w:p>
    <w:p w14:paraId="571CA559">
      <w:pPr>
        <w:pStyle w:val="177"/>
        <w:numPr>
          <w:ilvl w:val="0"/>
          <w:numId w:val="32"/>
        </w:numPr>
      </w:pPr>
      <w:r>
        <w:rPr>
          <w:rFonts w:hint="eastAsia"/>
        </w:rPr>
        <w:t>大气压力：</w:t>
      </w:r>
      <w:r>
        <w:rPr>
          <w:rFonts w:ascii="Times New Roman"/>
        </w:rPr>
        <w:t>86 kPa～106 kPa</w:t>
      </w:r>
      <w:r>
        <w:rPr>
          <w:rFonts w:hint="eastAsia"/>
        </w:rPr>
        <w:t>。</w:t>
      </w:r>
    </w:p>
    <w:p w14:paraId="01003029">
      <w:pPr>
        <w:pStyle w:val="108"/>
        <w:spacing w:before="120" w:after="120"/>
      </w:pPr>
      <w:bookmarkStart w:id="102" w:name="_Toc230201920"/>
      <w:bookmarkStart w:id="103" w:name="_Toc230201991"/>
      <w:bookmarkStart w:id="104" w:name="_Toc230201956"/>
      <w:r>
        <w:rPr>
          <w:rFonts w:hint="eastAsia"/>
        </w:rPr>
        <w:t>试验仪表和设备</w:t>
      </w:r>
      <w:bookmarkEnd w:id="102"/>
      <w:bookmarkEnd w:id="103"/>
      <w:bookmarkEnd w:id="104"/>
    </w:p>
    <w:p w14:paraId="7F444CCA">
      <w:pPr>
        <w:pStyle w:val="168"/>
      </w:pPr>
      <w:r>
        <w:rPr>
          <w:rFonts w:hint="eastAsia"/>
        </w:rPr>
        <w:t>试验仪器和设备的性能应符合所测性能的要求。</w:t>
      </w:r>
    </w:p>
    <w:p w14:paraId="7A42CE8D">
      <w:pPr>
        <w:pStyle w:val="168"/>
      </w:pPr>
      <w:r>
        <w:rPr>
          <w:rFonts w:hint="eastAsia"/>
        </w:rPr>
        <w:t>试验仪器和设备精度应保证所测性能对准确度的要求，其自身精度应不大于被测参数允许误差的</w:t>
      </w:r>
      <w:r>
        <w:rPr>
          <w:rFonts w:ascii="Times New Roman"/>
        </w:rPr>
        <w:t>1/3</w:t>
      </w:r>
      <w:r>
        <w:rPr>
          <w:rFonts w:hint="eastAsia"/>
        </w:rPr>
        <w:t>倍。</w:t>
      </w:r>
    </w:p>
    <w:p w14:paraId="6FFAF5A0">
      <w:pPr>
        <w:pStyle w:val="168"/>
      </w:pPr>
      <w:r>
        <w:rPr>
          <w:rFonts w:hint="eastAsia"/>
        </w:rPr>
        <w:t>试验仪器和设备应经过具有相应资质的检定单位检定合格。</w:t>
      </w:r>
    </w:p>
    <w:p w14:paraId="09ADE574">
      <w:pPr>
        <w:pStyle w:val="168"/>
      </w:pPr>
      <w:r>
        <w:rPr>
          <w:rFonts w:hint="eastAsia"/>
        </w:rPr>
        <w:t>测试用的交流电源应符合以下条件：额定电压范围至少应包含</w:t>
      </w:r>
      <w:r>
        <w:rPr>
          <w:rFonts w:ascii="Times New Roman"/>
        </w:rPr>
        <w:t>AC 95 V～140 V</w:t>
      </w:r>
      <w:r>
        <w:rPr>
          <w:rFonts w:hint="eastAsia"/>
        </w:rPr>
        <w:t>，误差应不大于2%，额定频率为</w:t>
      </w:r>
      <w:r>
        <w:rPr>
          <w:rFonts w:ascii="Times New Roman"/>
        </w:rPr>
        <w:t>50 Hz</w:t>
      </w:r>
      <w:r>
        <w:rPr>
          <w:rFonts w:hint="eastAsia"/>
        </w:rPr>
        <w:t>，误差应不大于</w:t>
      </w:r>
      <w:r>
        <w:rPr>
          <w:rFonts w:ascii="Times New Roman"/>
        </w:rPr>
        <w:t>1%</w:t>
      </w:r>
      <w:r>
        <w:rPr>
          <w:rFonts w:hint="eastAsia"/>
        </w:rPr>
        <w:t>。</w:t>
      </w:r>
    </w:p>
    <w:p w14:paraId="6F483D06">
      <w:pPr>
        <w:pStyle w:val="108"/>
        <w:spacing w:before="120" w:after="120"/>
      </w:pPr>
      <w:bookmarkStart w:id="105" w:name="_Toc230201992"/>
      <w:bookmarkStart w:id="106" w:name="_Toc230201957"/>
      <w:bookmarkStart w:id="107" w:name="_Toc230201921"/>
      <w:r>
        <w:rPr>
          <w:rFonts w:hint="eastAsia"/>
        </w:rPr>
        <w:t>监测装置连接</w:t>
      </w:r>
      <w:bookmarkEnd w:id="105"/>
      <w:bookmarkEnd w:id="106"/>
      <w:bookmarkEnd w:id="107"/>
    </w:p>
    <w:p w14:paraId="4159FDA0">
      <w:pPr>
        <w:pStyle w:val="168"/>
      </w:pPr>
      <w:r>
        <w:rPr>
          <w:rFonts w:hint="eastAsia"/>
        </w:rPr>
        <w:t>现场检验时，按实际配置进行检验。</w:t>
      </w:r>
    </w:p>
    <w:p w14:paraId="3463B313">
      <w:pPr>
        <w:pStyle w:val="168"/>
      </w:pPr>
      <w:r>
        <w:rPr>
          <w:rFonts w:hint="eastAsia"/>
        </w:rPr>
        <w:t>受试监测装置试验连线框图如图1所示。</w:t>
      </w:r>
    </w:p>
    <w:p w14:paraId="6FD9B279">
      <w:pPr>
        <w:pStyle w:val="168"/>
        <w:numPr>
          <w:ilvl w:val="0"/>
          <w:numId w:val="0"/>
        </w:numPr>
        <w:jc w:val="center"/>
      </w:pPr>
      <w:r>
        <w:drawing>
          <wp:inline distT="0" distB="0" distL="114300" distR="114300">
            <wp:extent cx="4181475" cy="1905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181475" cy="1905000"/>
                    </a:xfrm>
                    <a:prstGeom prst="rect">
                      <a:avLst/>
                    </a:prstGeom>
                    <a:noFill/>
                    <a:ln>
                      <a:noFill/>
                    </a:ln>
                  </pic:spPr>
                </pic:pic>
              </a:graphicData>
            </a:graphic>
          </wp:inline>
        </w:drawing>
      </w:r>
    </w:p>
    <w:p w14:paraId="0DA0AC3E">
      <w:pPr>
        <w:pStyle w:val="117"/>
        <w:spacing w:before="120" w:after="120"/>
      </w:pPr>
      <w:r>
        <w:rPr>
          <w:rFonts w:hint="eastAsia"/>
        </w:rPr>
        <w:t>装置试验连线框图</w:t>
      </w:r>
    </w:p>
    <w:p w14:paraId="67FC89BB">
      <w:pPr>
        <w:pStyle w:val="108"/>
        <w:spacing w:before="120" w:after="120"/>
      </w:pPr>
      <w:bookmarkStart w:id="108" w:name="_Toc230201958"/>
      <w:bookmarkStart w:id="109" w:name="_Toc230201993"/>
      <w:bookmarkStart w:id="110" w:name="_Toc230201922"/>
      <w:r>
        <w:rPr>
          <w:rFonts w:hint="eastAsia"/>
        </w:rPr>
        <w:t>主要功能试验</w:t>
      </w:r>
      <w:bookmarkEnd w:id="108"/>
      <w:bookmarkEnd w:id="109"/>
      <w:bookmarkEnd w:id="110"/>
    </w:p>
    <w:p w14:paraId="5E3CC883">
      <w:pPr>
        <w:pStyle w:val="68"/>
        <w:spacing w:before="120" w:after="120"/>
      </w:pPr>
      <w:r>
        <w:rPr>
          <w:rFonts w:hint="eastAsia"/>
        </w:rPr>
        <w:t>数据采集、处理、显示功能试验</w:t>
      </w:r>
    </w:p>
    <w:p w14:paraId="5CE533E9">
      <w:pPr>
        <w:pStyle w:val="59"/>
        <w:ind w:firstLine="420"/>
      </w:pPr>
      <w:r>
        <w:rPr>
          <w:rFonts w:hint="eastAsia"/>
        </w:rPr>
        <w:t>在数据采集接口中依次接入</w:t>
      </w:r>
      <w:r>
        <w:t>1 V、2 V、3 V、4 V、5 V</w:t>
      </w:r>
      <w:r>
        <w:rPr>
          <w:rFonts w:hint="eastAsia"/>
        </w:rPr>
        <w:t>电压，查看状态显示单元显示是否符合5.4.1.1的要求。</w:t>
      </w:r>
    </w:p>
    <w:p w14:paraId="6005682E">
      <w:pPr>
        <w:pStyle w:val="68"/>
        <w:spacing w:before="120" w:after="120"/>
      </w:pPr>
      <w:r>
        <w:rPr>
          <w:rFonts w:hint="eastAsia"/>
        </w:rPr>
        <w:t>报警功能试验</w:t>
      </w:r>
    </w:p>
    <w:p w14:paraId="4A7A9430">
      <w:pPr>
        <w:pStyle w:val="59"/>
        <w:ind w:firstLine="420"/>
      </w:pPr>
      <w:r>
        <w:rPr>
          <w:rFonts w:hint="eastAsia"/>
        </w:rPr>
        <w:t>使用链条样件靠近矿用本安型物位传感器，距离在10 mm范围内时，查看监测装置是否能够监测到正常链条数据，当链条超出传感器有效检测范围时,查看监测装置采集器是否发出断链报警状态。</w:t>
      </w:r>
    </w:p>
    <w:p w14:paraId="5B93C95B">
      <w:pPr>
        <w:pStyle w:val="68"/>
        <w:spacing w:before="120" w:after="120"/>
      </w:pPr>
      <w:r>
        <w:rPr>
          <w:rFonts w:hint="eastAsia"/>
        </w:rPr>
        <w:t>人机交互功能试验</w:t>
      </w:r>
    </w:p>
    <w:p w14:paraId="4FA092AE">
      <w:pPr>
        <w:pStyle w:val="59"/>
        <w:ind w:firstLine="420"/>
      </w:pPr>
      <w:r>
        <w:rPr>
          <w:rFonts w:hint="eastAsia"/>
        </w:rPr>
        <w:t>通过监测装置采集器调用历史数据、修改通信参数设置，查看监测装置运行数据是否与修改结果保持一致。</w:t>
      </w:r>
    </w:p>
    <w:p w14:paraId="5E280942">
      <w:pPr>
        <w:pStyle w:val="68"/>
        <w:spacing w:before="120" w:after="120"/>
      </w:pPr>
      <w:r>
        <w:rPr>
          <w:rFonts w:hint="eastAsia"/>
        </w:rPr>
        <w:t>通信功能试验</w:t>
      </w:r>
    </w:p>
    <w:p w14:paraId="40F7FFF8">
      <w:pPr>
        <w:pStyle w:val="59"/>
        <w:ind w:firstLine="420"/>
      </w:pPr>
      <w:r>
        <w:rPr>
          <w:rFonts w:hint="eastAsia"/>
        </w:rPr>
        <w:t xml:space="preserve">模拟第三方通信设备，按照5.4.1.4要求的通信接口与装置搭建通信连接，按对应的通信协议发送、接收数据报文，检查装置接收和发送功能是否正常。 </w:t>
      </w:r>
    </w:p>
    <w:p w14:paraId="0523A284">
      <w:pPr>
        <w:pStyle w:val="108"/>
        <w:spacing w:before="120" w:after="120"/>
      </w:pPr>
      <w:bookmarkStart w:id="111" w:name="_Toc230201923"/>
      <w:bookmarkStart w:id="112" w:name="_Toc230201994"/>
      <w:bookmarkStart w:id="113" w:name="_Toc230201960"/>
      <w:r>
        <w:rPr>
          <w:rFonts w:hint="eastAsia"/>
        </w:rPr>
        <w:t>电源波动适应能力试验</w:t>
      </w:r>
      <w:bookmarkEnd w:id="111"/>
      <w:bookmarkEnd w:id="112"/>
      <w:bookmarkEnd w:id="113"/>
    </w:p>
    <w:p w14:paraId="431E5820">
      <w:pPr>
        <w:pStyle w:val="59"/>
        <w:ind w:firstLine="420"/>
      </w:pPr>
      <w:r>
        <w:rPr>
          <w:rFonts w:hint="eastAsia"/>
        </w:rPr>
        <w:t>调节供电电压为95 V及140 V，分别按照6.4进行主要技术要求试验。</w:t>
      </w:r>
    </w:p>
    <w:p w14:paraId="7E27A9F9">
      <w:pPr>
        <w:pStyle w:val="108"/>
        <w:spacing w:before="120" w:after="120"/>
      </w:pPr>
      <w:bookmarkStart w:id="114" w:name="_Toc230201961"/>
      <w:bookmarkStart w:id="115" w:name="_Toc230201995"/>
      <w:bookmarkStart w:id="116" w:name="_Toc230201924"/>
      <w:r>
        <w:rPr>
          <w:rFonts w:hint="eastAsia"/>
        </w:rPr>
        <w:t>工作稳定性试验</w:t>
      </w:r>
      <w:bookmarkEnd w:id="114"/>
      <w:bookmarkEnd w:id="115"/>
      <w:bookmarkEnd w:id="116"/>
    </w:p>
    <w:p w14:paraId="52B0BA4E">
      <w:pPr>
        <w:pStyle w:val="59"/>
        <w:ind w:firstLine="420"/>
      </w:pPr>
      <w:r>
        <w:rPr>
          <w:rFonts w:hint="eastAsia"/>
        </w:rPr>
        <w:t>监测装置连续工作2 d，期间间隔12 h测试一次，按照6.4进行主要技术要求试验。</w:t>
      </w:r>
    </w:p>
    <w:p w14:paraId="60E81E1F">
      <w:pPr>
        <w:pStyle w:val="108"/>
        <w:spacing w:before="120" w:after="120"/>
      </w:pPr>
      <w:bookmarkStart w:id="117" w:name="_Toc230201962"/>
      <w:bookmarkStart w:id="118" w:name="_Toc230201925"/>
      <w:bookmarkStart w:id="119" w:name="_Toc230201996"/>
      <w:r>
        <w:rPr>
          <w:rFonts w:hint="eastAsia"/>
        </w:rPr>
        <w:t>防爆性能试验</w:t>
      </w:r>
      <w:bookmarkEnd w:id="117"/>
      <w:bookmarkEnd w:id="118"/>
      <w:bookmarkEnd w:id="119"/>
    </w:p>
    <w:p w14:paraId="43D878A8">
      <w:pPr>
        <w:pStyle w:val="168"/>
      </w:pPr>
      <w:r>
        <w:rPr>
          <w:rFonts w:hint="eastAsia"/>
        </w:rPr>
        <w:t>查验监测装置中有防爆要求的各零部件是否具有在有效期内的“防爆合格证”及“矿用产品安全标志证书”。</w:t>
      </w:r>
    </w:p>
    <w:p w14:paraId="6299A65C">
      <w:pPr>
        <w:pStyle w:val="168"/>
        <w:rPr>
          <w:color w:val="00B0F0"/>
        </w:rPr>
      </w:pPr>
      <w:r>
        <w:rPr>
          <w:rFonts w:hint="eastAsia"/>
        </w:rPr>
        <w:t>监测装置按</w:t>
      </w:r>
      <w:r>
        <w:rPr>
          <w:rFonts w:hint="eastAsia" w:hAnsi="宋体" w:cs="宋体"/>
        </w:rPr>
        <w:t>GB/T 3836.4</w:t>
      </w:r>
      <w:r>
        <w:rPr>
          <w:rFonts w:hint="eastAsia"/>
        </w:rPr>
        <w:t>的相关规定进行本安联检试验。</w:t>
      </w:r>
    </w:p>
    <w:p w14:paraId="3B9015C0">
      <w:pPr>
        <w:pStyle w:val="107"/>
        <w:spacing w:before="240" w:after="240"/>
      </w:pPr>
      <w:bookmarkStart w:id="120" w:name="_Toc230201997"/>
      <w:bookmarkStart w:id="121" w:name="_Toc230201926"/>
      <w:bookmarkStart w:id="122" w:name="_Toc230201963"/>
      <w:r>
        <w:rPr>
          <w:rFonts w:hint="eastAsia"/>
        </w:rPr>
        <w:t>检验规则</w:t>
      </w:r>
      <w:bookmarkEnd w:id="120"/>
      <w:bookmarkEnd w:id="121"/>
      <w:bookmarkEnd w:id="122"/>
    </w:p>
    <w:p w14:paraId="219F4A08">
      <w:pPr>
        <w:pStyle w:val="108"/>
        <w:spacing w:before="120" w:after="120"/>
      </w:pPr>
      <w:bookmarkStart w:id="123" w:name="_Toc230201998"/>
      <w:bookmarkStart w:id="124" w:name="_Toc230201927"/>
      <w:bookmarkStart w:id="125" w:name="_Toc230201964"/>
      <w:r>
        <w:rPr>
          <w:rFonts w:hint="eastAsia"/>
        </w:rPr>
        <w:t>检验分类</w:t>
      </w:r>
      <w:bookmarkEnd w:id="123"/>
      <w:bookmarkEnd w:id="124"/>
      <w:bookmarkEnd w:id="125"/>
    </w:p>
    <w:p w14:paraId="76E7E23B">
      <w:pPr>
        <w:pStyle w:val="59"/>
        <w:ind w:firstLine="420"/>
      </w:pPr>
      <w:r>
        <w:rPr>
          <w:rFonts w:hint="eastAsia"/>
        </w:rPr>
        <w:t>检验分出厂检验和型式检验。</w:t>
      </w:r>
    </w:p>
    <w:p w14:paraId="38DEDCA8">
      <w:pPr>
        <w:pStyle w:val="108"/>
        <w:spacing w:before="120" w:after="120"/>
      </w:pPr>
      <w:bookmarkStart w:id="126" w:name="_Toc230201928"/>
      <w:bookmarkStart w:id="127" w:name="_Toc230201965"/>
      <w:bookmarkStart w:id="128" w:name="_Toc230201999"/>
      <w:r>
        <w:rPr>
          <w:rFonts w:hint="eastAsia"/>
        </w:rPr>
        <w:t>出厂检验</w:t>
      </w:r>
      <w:bookmarkEnd w:id="126"/>
      <w:bookmarkEnd w:id="127"/>
      <w:bookmarkEnd w:id="128"/>
    </w:p>
    <w:p w14:paraId="58C3F02C">
      <w:pPr>
        <w:pStyle w:val="168"/>
      </w:pPr>
      <w:r>
        <w:rPr>
          <w:rFonts w:hint="eastAsia"/>
        </w:rPr>
        <w:t>每套监测装置均应进行出厂检验，合格产品应给予合格证。</w:t>
      </w:r>
    </w:p>
    <w:p w14:paraId="6FE1AB56">
      <w:pPr>
        <w:pStyle w:val="168"/>
      </w:pPr>
      <w:r>
        <w:rPr>
          <w:rFonts w:hint="eastAsia"/>
        </w:rPr>
        <w:t>出厂检验由制造厂质检部门负责进行，必要时用户可提出参加。</w:t>
      </w:r>
    </w:p>
    <w:p w14:paraId="3F76FCE6">
      <w:pPr>
        <w:pStyle w:val="168"/>
      </w:pPr>
      <w:r>
        <w:rPr>
          <w:rFonts w:hint="eastAsia"/>
        </w:rPr>
        <w:t>检验项目应符合表1规定。</w:t>
      </w:r>
    </w:p>
    <w:p w14:paraId="52D0EABB">
      <w:pPr>
        <w:pStyle w:val="108"/>
        <w:spacing w:before="120" w:after="120"/>
      </w:pPr>
      <w:bookmarkStart w:id="129" w:name="_Toc230202000"/>
      <w:bookmarkStart w:id="130" w:name="_Toc230201966"/>
      <w:bookmarkStart w:id="131" w:name="_Toc230201929"/>
      <w:r>
        <w:rPr>
          <w:rFonts w:hint="eastAsia"/>
        </w:rPr>
        <w:t>型式检验</w:t>
      </w:r>
      <w:bookmarkEnd w:id="129"/>
      <w:bookmarkEnd w:id="130"/>
      <w:bookmarkEnd w:id="131"/>
    </w:p>
    <w:p w14:paraId="33C9E658">
      <w:pPr>
        <w:pStyle w:val="168"/>
      </w:pPr>
      <w:r>
        <w:rPr>
          <w:rFonts w:hint="eastAsia"/>
        </w:rPr>
        <w:t>在下列情况之一时，应进行型式检验：</w:t>
      </w:r>
    </w:p>
    <w:p w14:paraId="639692B6">
      <w:pPr>
        <w:pStyle w:val="177"/>
        <w:numPr>
          <w:ilvl w:val="0"/>
          <w:numId w:val="33"/>
        </w:numPr>
      </w:pPr>
      <w:r>
        <w:rPr>
          <w:rFonts w:hint="eastAsia"/>
        </w:rPr>
        <w:t>新产品或老产品定型或转产时；</w:t>
      </w:r>
    </w:p>
    <w:p w14:paraId="22873AAB">
      <w:pPr>
        <w:pStyle w:val="177"/>
        <w:numPr>
          <w:ilvl w:val="0"/>
          <w:numId w:val="33"/>
        </w:numPr>
      </w:pPr>
      <w:r>
        <w:rPr>
          <w:rFonts w:hint="eastAsia"/>
        </w:rPr>
        <w:t>正式生产后，装置中设备或装置组成有较大变化，可能影响装置性能时；</w:t>
      </w:r>
    </w:p>
    <w:p w14:paraId="38E270D6">
      <w:pPr>
        <w:pStyle w:val="177"/>
        <w:numPr>
          <w:ilvl w:val="0"/>
          <w:numId w:val="33"/>
        </w:numPr>
      </w:pPr>
      <w:r>
        <w:rPr>
          <w:rFonts w:hint="eastAsia"/>
        </w:rPr>
        <w:t>正常生产时每五年一次；</w:t>
      </w:r>
    </w:p>
    <w:p w14:paraId="620F9CDA">
      <w:pPr>
        <w:pStyle w:val="177"/>
        <w:numPr>
          <w:ilvl w:val="0"/>
          <w:numId w:val="33"/>
        </w:numPr>
      </w:pPr>
      <w:r>
        <w:rPr>
          <w:rFonts w:hint="eastAsia"/>
        </w:rPr>
        <w:t>停产1年恢复生产时；</w:t>
      </w:r>
    </w:p>
    <w:p w14:paraId="0C01529B">
      <w:pPr>
        <w:pStyle w:val="177"/>
        <w:numPr>
          <w:ilvl w:val="0"/>
          <w:numId w:val="33"/>
        </w:numPr>
      </w:pPr>
      <w:r>
        <w:rPr>
          <w:rFonts w:hint="eastAsia"/>
        </w:rPr>
        <w:t>出厂检验结果与上次型式检验结果有较大差异时；</w:t>
      </w:r>
    </w:p>
    <w:p w14:paraId="29CABE01">
      <w:pPr>
        <w:pStyle w:val="177"/>
        <w:numPr>
          <w:ilvl w:val="0"/>
          <w:numId w:val="33"/>
        </w:numPr>
      </w:pPr>
      <w:r>
        <w:rPr>
          <w:rFonts w:hint="eastAsia"/>
        </w:rPr>
        <w:t>国家有关机构提出进行型式检验时。</w:t>
      </w:r>
    </w:p>
    <w:p w14:paraId="61E800F5">
      <w:pPr>
        <w:pStyle w:val="168"/>
      </w:pPr>
      <w:r>
        <w:rPr>
          <w:rFonts w:hint="eastAsia"/>
        </w:rPr>
        <w:t>型式试验项目应符合表1中型式检验项目的规定。</w:t>
      </w:r>
    </w:p>
    <w:p w14:paraId="1C79939E">
      <w:pPr>
        <w:pStyle w:val="115"/>
        <w:spacing w:before="120" w:after="120"/>
      </w:pP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682"/>
        <w:gridCol w:w="692"/>
        <w:gridCol w:w="2313"/>
        <w:gridCol w:w="1094"/>
        <w:gridCol w:w="1325"/>
        <w:gridCol w:w="1288"/>
        <w:gridCol w:w="975"/>
        <w:gridCol w:w="965"/>
      </w:tblGrid>
      <w:tr w14:paraId="0206D8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682" w:type="dxa"/>
            <w:tcBorders>
              <w:top w:val="single" w:color="auto" w:sz="8" w:space="0"/>
              <w:bottom w:val="single" w:color="auto" w:sz="8" w:space="0"/>
            </w:tcBorders>
            <w:vAlign w:val="center"/>
          </w:tcPr>
          <w:p w14:paraId="7F20DB5A">
            <w:pPr>
              <w:pStyle w:val="181"/>
            </w:pPr>
            <w:r>
              <w:rPr>
                <w:rFonts w:hint="eastAsia"/>
              </w:rPr>
              <w:t>序号</w:t>
            </w:r>
          </w:p>
        </w:tc>
        <w:tc>
          <w:tcPr>
            <w:tcW w:w="3005" w:type="dxa"/>
            <w:gridSpan w:val="2"/>
            <w:tcBorders>
              <w:top w:val="single" w:color="auto" w:sz="8" w:space="0"/>
              <w:bottom w:val="single" w:color="auto" w:sz="8" w:space="0"/>
            </w:tcBorders>
            <w:vAlign w:val="center"/>
          </w:tcPr>
          <w:p w14:paraId="2A8C0C6C">
            <w:pPr>
              <w:pStyle w:val="181"/>
            </w:pPr>
            <w:r>
              <w:rPr>
                <w:rFonts w:hint="eastAsia"/>
              </w:rPr>
              <w:t>检验项目</w:t>
            </w:r>
          </w:p>
        </w:tc>
        <w:tc>
          <w:tcPr>
            <w:tcW w:w="1094" w:type="dxa"/>
            <w:tcBorders>
              <w:top w:val="single" w:color="auto" w:sz="8" w:space="0"/>
              <w:bottom w:val="single" w:color="auto" w:sz="8" w:space="0"/>
            </w:tcBorders>
            <w:vAlign w:val="center"/>
          </w:tcPr>
          <w:p w14:paraId="59C56778">
            <w:pPr>
              <w:pStyle w:val="181"/>
            </w:pPr>
            <w:r>
              <w:rPr>
                <w:rFonts w:hint="eastAsia"/>
              </w:rPr>
              <w:t>不合格分类</w:t>
            </w:r>
          </w:p>
        </w:tc>
        <w:tc>
          <w:tcPr>
            <w:tcW w:w="1325" w:type="dxa"/>
            <w:tcBorders>
              <w:top w:val="single" w:color="auto" w:sz="8" w:space="0"/>
              <w:bottom w:val="single" w:color="auto" w:sz="8" w:space="0"/>
            </w:tcBorders>
            <w:vAlign w:val="center"/>
          </w:tcPr>
          <w:p w14:paraId="051F5771">
            <w:pPr>
              <w:pStyle w:val="181"/>
            </w:pPr>
            <w:r>
              <w:rPr>
                <w:rFonts w:hint="eastAsia"/>
              </w:rPr>
              <w:t>试验项目要求</w:t>
            </w:r>
          </w:p>
        </w:tc>
        <w:tc>
          <w:tcPr>
            <w:tcW w:w="1288" w:type="dxa"/>
            <w:tcBorders>
              <w:top w:val="single" w:color="auto" w:sz="8" w:space="0"/>
              <w:bottom w:val="single" w:color="auto" w:sz="8" w:space="0"/>
            </w:tcBorders>
            <w:vAlign w:val="center"/>
          </w:tcPr>
          <w:p w14:paraId="1E6A2C4C">
            <w:pPr>
              <w:pStyle w:val="181"/>
            </w:pPr>
            <w:r>
              <w:rPr>
                <w:rFonts w:hint="eastAsia"/>
              </w:rPr>
              <w:t>试验方法</w:t>
            </w:r>
          </w:p>
        </w:tc>
        <w:tc>
          <w:tcPr>
            <w:tcW w:w="975" w:type="dxa"/>
            <w:tcBorders>
              <w:top w:val="single" w:color="auto" w:sz="8" w:space="0"/>
              <w:bottom w:val="single" w:color="auto" w:sz="8" w:space="0"/>
            </w:tcBorders>
            <w:vAlign w:val="center"/>
          </w:tcPr>
          <w:p w14:paraId="6A321375">
            <w:pPr>
              <w:pStyle w:val="181"/>
            </w:pPr>
            <w:r>
              <w:rPr>
                <w:rFonts w:hint="eastAsia"/>
              </w:rPr>
              <w:t>出厂检验</w:t>
            </w:r>
          </w:p>
        </w:tc>
        <w:tc>
          <w:tcPr>
            <w:tcW w:w="965" w:type="dxa"/>
            <w:tcBorders>
              <w:top w:val="single" w:color="auto" w:sz="8" w:space="0"/>
              <w:bottom w:val="single" w:color="auto" w:sz="8" w:space="0"/>
            </w:tcBorders>
            <w:vAlign w:val="center"/>
          </w:tcPr>
          <w:p w14:paraId="1E216405">
            <w:pPr>
              <w:pStyle w:val="181"/>
            </w:pPr>
            <w:r>
              <w:rPr>
                <w:rFonts w:hint="eastAsia"/>
              </w:rPr>
              <w:t>型式检验</w:t>
            </w:r>
          </w:p>
        </w:tc>
      </w:tr>
      <w:tr w14:paraId="6913F4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vMerge w:val="restart"/>
            <w:tcBorders>
              <w:top w:val="single" w:color="auto" w:sz="8" w:space="0"/>
            </w:tcBorders>
            <w:vAlign w:val="center"/>
          </w:tcPr>
          <w:p w14:paraId="5BB05C0B">
            <w:pPr>
              <w:pStyle w:val="181"/>
            </w:pPr>
            <w:r>
              <w:rPr>
                <w:rFonts w:hint="eastAsia"/>
              </w:rPr>
              <w:t>1</w:t>
            </w:r>
          </w:p>
        </w:tc>
        <w:tc>
          <w:tcPr>
            <w:tcW w:w="692" w:type="dxa"/>
            <w:vMerge w:val="restart"/>
            <w:tcBorders>
              <w:top w:val="single" w:color="auto" w:sz="8" w:space="0"/>
            </w:tcBorders>
            <w:vAlign w:val="center"/>
          </w:tcPr>
          <w:p w14:paraId="17C7F282">
            <w:pPr>
              <w:pStyle w:val="181"/>
            </w:pPr>
            <w:r>
              <w:rPr>
                <w:rFonts w:hint="eastAsia"/>
              </w:rPr>
              <w:t>主要技术指标及功能</w:t>
            </w:r>
          </w:p>
        </w:tc>
        <w:tc>
          <w:tcPr>
            <w:tcW w:w="2313" w:type="dxa"/>
            <w:tcBorders>
              <w:top w:val="single" w:color="auto" w:sz="8" w:space="0"/>
            </w:tcBorders>
            <w:vAlign w:val="center"/>
          </w:tcPr>
          <w:p w14:paraId="6CAF2DE8">
            <w:pPr>
              <w:pStyle w:val="181"/>
            </w:pPr>
            <w:r>
              <w:rPr>
                <w:rFonts w:hint="eastAsia"/>
              </w:rPr>
              <w:t>数据采集、处理、显示报警功能</w:t>
            </w:r>
          </w:p>
        </w:tc>
        <w:tc>
          <w:tcPr>
            <w:tcW w:w="1094" w:type="dxa"/>
            <w:tcBorders>
              <w:top w:val="single" w:color="auto" w:sz="8" w:space="0"/>
            </w:tcBorders>
            <w:vAlign w:val="center"/>
          </w:tcPr>
          <w:p w14:paraId="1780FE77">
            <w:pPr>
              <w:pStyle w:val="181"/>
            </w:pPr>
            <w:r>
              <w:rPr>
                <w:rFonts w:hint="eastAsia"/>
              </w:rPr>
              <w:t>B</w:t>
            </w:r>
          </w:p>
        </w:tc>
        <w:tc>
          <w:tcPr>
            <w:tcW w:w="1325" w:type="dxa"/>
            <w:tcBorders>
              <w:top w:val="single" w:color="auto" w:sz="8" w:space="0"/>
            </w:tcBorders>
            <w:vAlign w:val="center"/>
          </w:tcPr>
          <w:p w14:paraId="4AAEE556">
            <w:pPr>
              <w:pStyle w:val="181"/>
            </w:pPr>
            <w:r>
              <w:rPr>
                <w:rFonts w:hint="eastAsia"/>
              </w:rPr>
              <w:t>5.4.1.1</w:t>
            </w:r>
          </w:p>
        </w:tc>
        <w:tc>
          <w:tcPr>
            <w:tcW w:w="1288" w:type="dxa"/>
            <w:tcBorders>
              <w:top w:val="single" w:color="auto" w:sz="8" w:space="0"/>
            </w:tcBorders>
            <w:vAlign w:val="center"/>
          </w:tcPr>
          <w:p w14:paraId="32A0E05F">
            <w:pPr>
              <w:pStyle w:val="181"/>
            </w:pPr>
            <w:r>
              <w:rPr>
                <w:rFonts w:hint="eastAsia"/>
              </w:rPr>
              <w:t>6.4.1</w:t>
            </w:r>
          </w:p>
        </w:tc>
        <w:tc>
          <w:tcPr>
            <w:tcW w:w="975" w:type="dxa"/>
            <w:tcBorders>
              <w:top w:val="single" w:color="auto" w:sz="8" w:space="0"/>
            </w:tcBorders>
            <w:vAlign w:val="center"/>
          </w:tcPr>
          <w:p w14:paraId="60CC64F7">
            <w:pPr>
              <w:pStyle w:val="181"/>
            </w:pPr>
            <w:r>
              <w:rPr>
                <w:rFonts w:hint="eastAsia"/>
              </w:rPr>
              <w:t>○</w:t>
            </w:r>
          </w:p>
        </w:tc>
        <w:tc>
          <w:tcPr>
            <w:tcW w:w="965" w:type="dxa"/>
            <w:tcBorders>
              <w:top w:val="single" w:color="auto" w:sz="8" w:space="0"/>
            </w:tcBorders>
            <w:vAlign w:val="center"/>
          </w:tcPr>
          <w:p w14:paraId="1C4A4A60">
            <w:pPr>
              <w:pStyle w:val="181"/>
            </w:pPr>
            <w:r>
              <w:rPr>
                <w:rFonts w:hint="eastAsia"/>
              </w:rPr>
              <w:t>○</w:t>
            </w:r>
          </w:p>
        </w:tc>
      </w:tr>
      <w:tr w14:paraId="4E79B4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vMerge w:val="continue"/>
            <w:tcBorders>
              <w:top w:val="single" w:color="auto" w:sz="8" w:space="0"/>
            </w:tcBorders>
            <w:vAlign w:val="center"/>
          </w:tcPr>
          <w:p w14:paraId="3DA72C51">
            <w:pPr>
              <w:pStyle w:val="181"/>
            </w:pPr>
          </w:p>
        </w:tc>
        <w:tc>
          <w:tcPr>
            <w:tcW w:w="692" w:type="dxa"/>
            <w:vMerge w:val="continue"/>
            <w:tcBorders>
              <w:top w:val="single" w:color="auto" w:sz="8" w:space="0"/>
            </w:tcBorders>
            <w:vAlign w:val="center"/>
          </w:tcPr>
          <w:p w14:paraId="515BF691">
            <w:pPr>
              <w:pStyle w:val="181"/>
            </w:pPr>
          </w:p>
        </w:tc>
        <w:tc>
          <w:tcPr>
            <w:tcW w:w="2313" w:type="dxa"/>
            <w:tcBorders>
              <w:top w:val="single" w:color="auto" w:sz="8" w:space="0"/>
            </w:tcBorders>
            <w:vAlign w:val="center"/>
          </w:tcPr>
          <w:p w14:paraId="500EFC08">
            <w:pPr>
              <w:pStyle w:val="181"/>
            </w:pPr>
            <w:r>
              <w:rPr>
                <w:rFonts w:hint="eastAsia"/>
              </w:rPr>
              <w:t>人机交互功能</w:t>
            </w:r>
          </w:p>
        </w:tc>
        <w:tc>
          <w:tcPr>
            <w:tcW w:w="1094" w:type="dxa"/>
            <w:tcBorders>
              <w:top w:val="single" w:color="auto" w:sz="8" w:space="0"/>
            </w:tcBorders>
            <w:vAlign w:val="center"/>
          </w:tcPr>
          <w:p w14:paraId="69E79333">
            <w:pPr>
              <w:pStyle w:val="181"/>
            </w:pPr>
            <w:r>
              <w:rPr>
                <w:rFonts w:hint="eastAsia"/>
              </w:rPr>
              <w:t>B</w:t>
            </w:r>
          </w:p>
        </w:tc>
        <w:tc>
          <w:tcPr>
            <w:tcW w:w="1325" w:type="dxa"/>
            <w:tcBorders>
              <w:top w:val="single" w:color="auto" w:sz="8" w:space="0"/>
            </w:tcBorders>
            <w:vAlign w:val="center"/>
          </w:tcPr>
          <w:p w14:paraId="7406F2A0">
            <w:pPr>
              <w:pStyle w:val="181"/>
            </w:pPr>
            <w:r>
              <w:rPr>
                <w:rFonts w:hint="eastAsia"/>
              </w:rPr>
              <w:t>5.4.1.2</w:t>
            </w:r>
          </w:p>
        </w:tc>
        <w:tc>
          <w:tcPr>
            <w:tcW w:w="1288" w:type="dxa"/>
            <w:tcBorders>
              <w:top w:val="single" w:color="auto" w:sz="8" w:space="0"/>
            </w:tcBorders>
            <w:vAlign w:val="center"/>
          </w:tcPr>
          <w:p w14:paraId="4996E1EE">
            <w:pPr>
              <w:pStyle w:val="181"/>
            </w:pPr>
            <w:r>
              <w:rPr>
                <w:rFonts w:hint="eastAsia"/>
              </w:rPr>
              <w:t>6.4.2</w:t>
            </w:r>
          </w:p>
        </w:tc>
        <w:tc>
          <w:tcPr>
            <w:tcW w:w="975" w:type="dxa"/>
            <w:tcBorders>
              <w:top w:val="single" w:color="auto" w:sz="8" w:space="0"/>
            </w:tcBorders>
            <w:vAlign w:val="center"/>
          </w:tcPr>
          <w:p w14:paraId="3C664067">
            <w:pPr>
              <w:pStyle w:val="181"/>
            </w:pPr>
            <w:r>
              <w:rPr>
                <w:rFonts w:hint="eastAsia"/>
              </w:rPr>
              <w:t>○</w:t>
            </w:r>
          </w:p>
        </w:tc>
        <w:tc>
          <w:tcPr>
            <w:tcW w:w="965" w:type="dxa"/>
            <w:tcBorders>
              <w:top w:val="single" w:color="auto" w:sz="8" w:space="0"/>
            </w:tcBorders>
            <w:vAlign w:val="center"/>
          </w:tcPr>
          <w:p w14:paraId="39C17A32">
            <w:pPr>
              <w:pStyle w:val="181"/>
            </w:pPr>
            <w:r>
              <w:rPr>
                <w:rFonts w:hint="eastAsia"/>
              </w:rPr>
              <w:t>○</w:t>
            </w:r>
          </w:p>
        </w:tc>
      </w:tr>
      <w:tr w14:paraId="282D5A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vMerge w:val="continue"/>
            <w:tcBorders>
              <w:top w:val="single" w:color="auto" w:sz="8" w:space="0"/>
            </w:tcBorders>
            <w:vAlign w:val="center"/>
          </w:tcPr>
          <w:p w14:paraId="2E13E7AC">
            <w:pPr>
              <w:pStyle w:val="181"/>
            </w:pPr>
          </w:p>
        </w:tc>
        <w:tc>
          <w:tcPr>
            <w:tcW w:w="692" w:type="dxa"/>
            <w:vMerge w:val="continue"/>
            <w:tcBorders>
              <w:top w:val="single" w:color="auto" w:sz="8" w:space="0"/>
            </w:tcBorders>
            <w:vAlign w:val="center"/>
          </w:tcPr>
          <w:p w14:paraId="4CAB8122">
            <w:pPr>
              <w:pStyle w:val="181"/>
            </w:pPr>
          </w:p>
        </w:tc>
        <w:tc>
          <w:tcPr>
            <w:tcW w:w="2313" w:type="dxa"/>
            <w:tcBorders>
              <w:top w:val="single" w:color="auto" w:sz="8" w:space="0"/>
            </w:tcBorders>
            <w:vAlign w:val="center"/>
          </w:tcPr>
          <w:p w14:paraId="6A85D269">
            <w:pPr>
              <w:pStyle w:val="181"/>
            </w:pPr>
            <w:r>
              <w:rPr>
                <w:rFonts w:hint="eastAsia"/>
              </w:rPr>
              <w:t>报警功能</w:t>
            </w:r>
          </w:p>
        </w:tc>
        <w:tc>
          <w:tcPr>
            <w:tcW w:w="1094" w:type="dxa"/>
            <w:tcBorders>
              <w:top w:val="single" w:color="auto" w:sz="8" w:space="0"/>
            </w:tcBorders>
            <w:vAlign w:val="center"/>
          </w:tcPr>
          <w:p w14:paraId="2AE5F6EA">
            <w:pPr>
              <w:pStyle w:val="181"/>
            </w:pPr>
            <w:r>
              <w:rPr>
                <w:rFonts w:hint="eastAsia"/>
              </w:rPr>
              <w:t>B</w:t>
            </w:r>
          </w:p>
        </w:tc>
        <w:tc>
          <w:tcPr>
            <w:tcW w:w="1325" w:type="dxa"/>
            <w:tcBorders>
              <w:top w:val="single" w:color="auto" w:sz="8" w:space="0"/>
            </w:tcBorders>
            <w:vAlign w:val="center"/>
          </w:tcPr>
          <w:p w14:paraId="533E30A5">
            <w:pPr>
              <w:pStyle w:val="181"/>
            </w:pPr>
            <w:r>
              <w:rPr>
                <w:rFonts w:hint="eastAsia"/>
              </w:rPr>
              <w:t>5.4.1.3</w:t>
            </w:r>
          </w:p>
        </w:tc>
        <w:tc>
          <w:tcPr>
            <w:tcW w:w="1288" w:type="dxa"/>
            <w:tcBorders>
              <w:top w:val="single" w:color="auto" w:sz="8" w:space="0"/>
            </w:tcBorders>
            <w:vAlign w:val="center"/>
          </w:tcPr>
          <w:p w14:paraId="13DD0847">
            <w:pPr>
              <w:pStyle w:val="181"/>
            </w:pPr>
            <w:r>
              <w:rPr>
                <w:rFonts w:hint="eastAsia"/>
              </w:rPr>
              <w:t>6.4.3</w:t>
            </w:r>
          </w:p>
        </w:tc>
        <w:tc>
          <w:tcPr>
            <w:tcW w:w="975" w:type="dxa"/>
            <w:tcBorders>
              <w:top w:val="single" w:color="auto" w:sz="8" w:space="0"/>
            </w:tcBorders>
            <w:vAlign w:val="center"/>
          </w:tcPr>
          <w:p w14:paraId="21935992">
            <w:pPr>
              <w:pStyle w:val="181"/>
            </w:pPr>
            <w:r>
              <w:rPr>
                <w:rFonts w:hint="eastAsia"/>
              </w:rPr>
              <w:t>○</w:t>
            </w:r>
          </w:p>
        </w:tc>
        <w:tc>
          <w:tcPr>
            <w:tcW w:w="965" w:type="dxa"/>
            <w:tcBorders>
              <w:top w:val="single" w:color="auto" w:sz="8" w:space="0"/>
            </w:tcBorders>
            <w:vAlign w:val="center"/>
          </w:tcPr>
          <w:p w14:paraId="2CDFFE59">
            <w:pPr>
              <w:pStyle w:val="181"/>
            </w:pPr>
            <w:r>
              <w:rPr>
                <w:rFonts w:hint="eastAsia"/>
              </w:rPr>
              <w:t>○</w:t>
            </w:r>
          </w:p>
        </w:tc>
      </w:tr>
      <w:tr w14:paraId="5CE0F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vMerge w:val="continue"/>
            <w:tcBorders>
              <w:top w:val="single" w:color="auto" w:sz="8" w:space="0"/>
            </w:tcBorders>
            <w:vAlign w:val="center"/>
          </w:tcPr>
          <w:p w14:paraId="6EFC571E">
            <w:pPr>
              <w:pStyle w:val="181"/>
            </w:pPr>
          </w:p>
        </w:tc>
        <w:tc>
          <w:tcPr>
            <w:tcW w:w="692" w:type="dxa"/>
            <w:vMerge w:val="continue"/>
            <w:tcBorders>
              <w:top w:val="single" w:color="auto" w:sz="8" w:space="0"/>
            </w:tcBorders>
            <w:vAlign w:val="center"/>
          </w:tcPr>
          <w:p w14:paraId="61A7038C">
            <w:pPr>
              <w:pStyle w:val="181"/>
            </w:pPr>
          </w:p>
        </w:tc>
        <w:tc>
          <w:tcPr>
            <w:tcW w:w="2313" w:type="dxa"/>
            <w:tcBorders>
              <w:top w:val="single" w:color="auto" w:sz="8" w:space="0"/>
            </w:tcBorders>
            <w:vAlign w:val="center"/>
          </w:tcPr>
          <w:p w14:paraId="5F3FF031">
            <w:pPr>
              <w:pStyle w:val="181"/>
            </w:pPr>
            <w:r>
              <w:rPr>
                <w:rFonts w:hint="eastAsia"/>
              </w:rPr>
              <w:t>数据交互功能</w:t>
            </w:r>
          </w:p>
        </w:tc>
        <w:tc>
          <w:tcPr>
            <w:tcW w:w="1094" w:type="dxa"/>
            <w:tcBorders>
              <w:top w:val="single" w:color="auto" w:sz="8" w:space="0"/>
            </w:tcBorders>
            <w:vAlign w:val="center"/>
          </w:tcPr>
          <w:p w14:paraId="32EE7BF1">
            <w:pPr>
              <w:pStyle w:val="181"/>
            </w:pPr>
            <w:r>
              <w:rPr>
                <w:rFonts w:hint="eastAsia"/>
              </w:rPr>
              <w:t>B</w:t>
            </w:r>
          </w:p>
        </w:tc>
        <w:tc>
          <w:tcPr>
            <w:tcW w:w="1325" w:type="dxa"/>
            <w:tcBorders>
              <w:top w:val="single" w:color="auto" w:sz="8" w:space="0"/>
            </w:tcBorders>
            <w:vAlign w:val="center"/>
          </w:tcPr>
          <w:p w14:paraId="021594DC">
            <w:pPr>
              <w:pStyle w:val="181"/>
            </w:pPr>
            <w:r>
              <w:rPr>
                <w:rFonts w:hint="eastAsia"/>
              </w:rPr>
              <w:t>5.4.1.4</w:t>
            </w:r>
          </w:p>
        </w:tc>
        <w:tc>
          <w:tcPr>
            <w:tcW w:w="1288" w:type="dxa"/>
            <w:tcBorders>
              <w:top w:val="single" w:color="auto" w:sz="8" w:space="0"/>
            </w:tcBorders>
            <w:vAlign w:val="center"/>
          </w:tcPr>
          <w:p w14:paraId="10FC7A44">
            <w:pPr>
              <w:pStyle w:val="181"/>
            </w:pPr>
            <w:r>
              <w:rPr>
                <w:rFonts w:hint="eastAsia"/>
              </w:rPr>
              <w:t>6.4.4</w:t>
            </w:r>
          </w:p>
        </w:tc>
        <w:tc>
          <w:tcPr>
            <w:tcW w:w="975" w:type="dxa"/>
            <w:tcBorders>
              <w:top w:val="single" w:color="auto" w:sz="8" w:space="0"/>
            </w:tcBorders>
            <w:vAlign w:val="center"/>
          </w:tcPr>
          <w:p w14:paraId="40EB3AFA">
            <w:pPr>
              <w:pStyle w:val="181"/>
            </w:pPr>
            <w:r>
              <w:rPr>
                <w:rFonts w:hint="eastAsia"/>
              </w:rPr>
              <w:t>○</w:t>
            </w:r>
          </w:p>
        </w:tc>
        <w:tc>
          <w:tcPr>
            <w:tcW w:w="965" w:type="dxa"/>
            <w:tcBorders>
              <w:top w:val="single" w:color="auto" w:sz="8" w:space="0"/>
            </w:tcBorders>
            <w:vAlign w:val="center"/>
          </w:tcPr>
          <w:p w14:paraId="1B42631D">
            <w:pPr>
              <w:pStyle w:val="181"/>
            </w:pPr>
            <w:r>
              <w:rPr>
                <w:rFonts w:hint="eastAsia"/>
              </w:rPr>
              <w:t>○</w:t>
            </w:r>
          </w:p>
        </w:tc>
      </w:tr>
      <w:tr w14:paraId="1C46A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vAlign w:val="center"/>
          </w:tcPr>
          <w:p w14:paraId="3E8843E9">
            <w:pPr>
              <w:pStyle w:val="181"/>
            </w:pPr>
            <w:r>
              <w:rPr>
                <w:rFonts w:hint="eastAsia"/>
              </w:rPr>
              <w:t>2</w:t>
            </w:r>
          </w:p>
        </w:tc>
        <w:tc>
          <w:tcPr>
            <w:tcW w:w="3005" w:type="dxa"/>
            <w:gridSpan w:val="2"/>
            <w:vAlign w:val="center"/>
          </w:tcPr>
          <w:p w14:paraId="0CA2121F">
            <w:pPr>
              <w:pStyle w:val="181"/>
            </w:pPr>
            <w:r>
              <w:rPr>
                <w:rFonts w:hint="eastAsia"/>
              </w:rPr>
              <w:t>电源波动适应能力</w:t>
            </w:r>
          </w:p>
        </w:tc>
        <w:tc>
          <w:tcPr>
            <w:tcW w:w="1094" w:type="dxa"/>
            <w:vAlign w:val="center"/>
          </w:tcPr>
          <w:p w14:paraId="409DE5E2">
            <w:pPr>
              <w:pStyle w:val="181"/>
            </w:pPr>
            <w:r>
              <w:rPr>
                <w:rFonts w:hint="eastAsia"/>
              </w:rPr>
              <w:t>B</w:t>
            </w:r>
          </w:p>
        </w:tc>
        <w:tc>
          <w:tcPr>
            <w:tcW w:w="1325" w:type="dxa"/>
            <w:vAlign w:val="center"/>
          </w:tcPr>
          <w:p w14:paraId="0488F8E7">
            <w:pPr>
              <w:pStyle w:val="181"/>
            </w:pPr>
            <w:r>
              <w:rPr>
                <w:rFonts w:hint="eastAsia"/>
              </w:rPr>
              <w:t>5.5</w:t>
            </w:r>
          </w:p>
        </w:tc>
        <w:tc>
          <w:tcPr>
            <w:tcW w:w="1288" w:type="dxa"/>
            <w:vAlign w:val="center"/>
          </w:tcPr>
          <w:p w14:paraId="15C17BAE">
            <w:pPr>
              <w:pStyle w:val="181"/>
            </w:pPr>
            <w:r>
              <w:rPr>
                <w:rFonts w:hint="eastAsia"/>
              </w:rPr>
              <w:t>6.5</w:t>
            </w:r>
          </w:p>
        </w:tc>
        <w:tc>
          <w:tcPr>
            <w:tcW w:w="975" w:type="dxa"/>
            <w:vAlign w:val="center"/>
          </w:tcPr>
          <w:p w14:paraId="3AB279CF">
            <w:pPr>
              <w:pStyle w:val="181"/>
            </w:pPr>
            <w:r>
              <w:rPr>
                <w:rFonts w:hint="eastAsia"/>
              </w:rPr>
              <w:t>○</w:t>
            </w:r>
          </w:p>
        </w:tc>
        <w:tc>
          <w:tcPr>
            <w:tcW w:w="965" w:type="dxa"/>
            <w:vAlign w:val="center"/>
          </w:tcPr>
          <w:p w14:paraId="6BF7CB7E">
            <w:pPr>
              <w:pStyle w:val="181"/>
            </w:pPr>
            <w:r>
              <w:rPr>
                <w:rFonts w:hint="eastAsia"/>
              </w:rPr>
              <w:t>○</w:t>
            </w:r>
          </w:p>
        </w:tc>
      </w:tr>
      <w:tr w14:paraId="7213B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vAlign w:val="center"/>
          </w:tcPr>
          <w:p w14:paraId="5D104330">
            <w:pPr>
              <w:pStyle w:val="181"/>
            </w:pPr>
            <w:r>
              <w:rPr>
                <w:rFonts w:hint="eastAsia"/>
              </w:rPr>
              <w:t>3</w:t>
            </w:r>
          </w:p>
        </w:tc>
        <w:tc>
          <w:tcPr>
            <w:tcW w:w="3005" w:type="dxa"/>
            <w:gridSpan w:val="2"/>
            <w:vAlign w:val="center"/>
          </w:tcPr>
          <w:p w14:paraId="53EE78AE">
            <w:pPr>
              <w:pStyle w:val="181"/>
            </w:pPr>
            <w:r>
              <w:rPr>
                <w:rFonts w:hint="eastAsia"/>
              </w:rPr>
              <w:t>工作稳定性</w:t>
            </w:r>
          </w:p>
        </w:tc>
        <w:tc>
          <w:tcPr>
            <w:tcW w:w="1094" w:type="dxa"/>
            <w:vAlign w:val="center"/>
          </w:tcPr>
          <w:p w14:paraId="7E9888CB">
            <w:pPr>
              <w:pStyle w:val="181"/>
            </w:pPr>
            <w:r>
              <w:rPr>
                <w:rFonts w:hint="eastAsia"/>
              </w:rPr>
              <w:t>B</w:t>
            </w:r>
          </w:p>
        </w:tc>
        <w:tc>
          <w:tcPr>
            <w:tcW w:w="1325" w:type="dxa"/>
            <w:vAlign w:val="center"/>
          </w:tcPr>
          <w:p w14:paraId="3CC4CEEE">
            <w:pPr>
              <w:pStyle w:val="181"/>
            </w:pPr>
            <w:r>
              <w:rPr>
                <w:rFonts w:hint="eastAsia"/>
              </w:rPr>
              <w:t>5.6</w:t>
            </w:r>
          </w:p>
        </w:tc>
        <w:tc>
          <w:tcPr>
            <w:tcW w:w="1288" w:type="dxa"/>
            <w:vAlign w:val="center"/>
          </w:tcPr>
          <w:p w14:paraId="65434B9D">
            <w:pPr>
              <w:pStyle w:val="181"/>
            </w:pPr>
            <w:r>
              <w:rPr>
                <w:rFonts w:hint="eastAsia"/>
              </w:rPr>
              <w:t>6.6</w:t>
            </w:r>
          </w:p>
        </w:tc>
        <w:tc>
          <w:tcPr>
            <w:tcW w:w="975" w:type="dxa"/>
            <w:vAlign w:val="center"/>
          </w:tcPr>
          <w:p w14:paraId="61B8A6FE">
            <w:pPr>
              <w:pStyle w:val="181"/>
            </w:pPr>
            <w:r>
              <w:rPr>
                <w:rFonts w:hint="eastAsia"/>
              </w:rPr>
              <w:t>○</w:t>
            </w:r>
          </w:p>
        </w:tc>
        <w:tc>
          <w:tcPr>
            <w:tcW w:w="965" w:type="dxa"/>
            <w:vAlign w:val="center"/>
          </w:tcPr>
          <w:p w14:paraId="03EB39C4">
            <w:pPr>
              <w:pStyle w:val="181"/>
            </w:pPr>
            <w:r>
              <w:rPr>
                <w:rFonts w:hint="eastAsia"/>
              </w:rPr>
              <w:t>○</w:t>
            </w:r>
          </w:p>
        </w:tc>
      </w:tr>
      <w:tr w14:paraId="0DA78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682" w:type="dxa"/>
            <w:tcBorders>
              <w:bottom w:val="single" w:color="auto" w:sz="8" w:space="0"/>
            </w:tcBorders>
            <w:vAlign w:val="center"/>
          </w:tcPr>
          <w:p w14:paraId="7AA11E3C">
            <w:pPr>
              <w:pStyle w:val="181"/>
            </w:pPr>
            <w:r>
              <w:rPr>
                <w:rFonts w:hint="eastAsia"/>
              </w:rPr>
              <w:t>4</w:t>
            </w:r>
          </w:p>
        </w:tc>
        <w:tc>
          <w:tcPr>
            <w:tcW w:w="3005" w:type="dxa"/>
            <w:gridSpan w:val="2"/>
            <w:tcBorders>
              <w:bottom w:val="single" w:color="auto" w:sz="8" w:space="0"/>
            </w:tcBorders>
            <w:vAlign w:val="center"/>
          </w:tcPr>
          <w:p w14:paraId="1211E0B5">
            <w:pPr>
              <w:pStyle w:val="181"/>
            </w:pPr>
            <w:r>
              <w:rPr>
                <w:rFonts w:hint="eastAsia"/>
              </w:rPr>
              <w:t>防爆性能</w:t>
            </w:r>
          </w:p>
        </w:tc>
        <w:tc>
          <w:tcPr>
            <w:tcW w:w="1094" w:type="dxa"/>
            <w:tcBorders>
              <w:bottom w:val="single" w:color="auto" w:sz="8" w:space="0"/>
            </w:tcBorders>
            <w:vAlign w:val="center"/>
          </w:tcPr>
          <w:p w14:paraId="52E62B70">
            <w:pPr>
              <w:pStyle w:val="181"/>
            </w:pPr>
            <w:r>
              <w:rPr>
                <w:rFonts w:hint="eastAsia"/>
              </w:rPr>
              <w:t>A</w:t>
            </w:r>
          </w:p>
        </w:tc>
        <w:tc>
          <w:tcPr>
            <w:tcW w:w="1325" w:type="dxa"/>
            <w:tcBorders>
              <w:bottom w:val="single" w:color="auto" w:sz="8" w:space="0"/>
            </w:tcBorders>
            <w:vAlign w:val="center"/>
          </w:tcPr>
          <w:p w14:paraId="631D3D8E">
            <w:pPr>
              <w:pStyle w:val="181"/>
            </w:pPr>
            <w:r>
              <w:rPr>
                <w:rFonts w:hint="eastAsia"/>
              </w:rPr>
              <w:t>5.7</w:t>
            </w:r>
          </w:p>
        </w:tc>
        <w:tc>
          <w:tcPr>
            <w:tcW w:w="1288" w:type="dxa"/>
            <w:tcBorders>
              <w:bottom w:val="single" w:color="auto" w:sz="8" w:space="0"/>
            </w:tcBorders>
            <w:vAlign w:val="center"/>
          </w:tcPr>
          <w:p w14:paraId="73CF5091">
            <w:pPr>
              <w:pStyle w:val="181"/>
            </w:pPr>
            <w:r>
              <w:rPr>
                <w:rFonts w:hint="eastAsia"/>
              </w:rPr>
              <w:t>6.7</w:t>
            </w:r>
          </w:p>
        </w:tc>
        <w:tc>
          <w:tcPr>
            <w:tcW w:w="975" w:type="dxa"/>
            <w:tcBorders>
              <w:bottom w:val="single" w:color="auto" w:sz="8" w:space="0"/>
            </w:tcBorders>
            <w:vAlign w:val="center"/>
          </w:tcPr>
          <w:p w14:paraId="7352BEA9">
            <w:pPr>
              <w:pStyle w:val="181"/>
            </w:pPr>
            <w:r>
              <w:rPr>
                <w:rFonts w:hint="eastAsia"/>
              </w:rPr>
              <w:t>—</w:t>
            </w:r>
          </w:p>
        </w:tc>
        <w:tc>
          <w:tcPr>
            <w:tcW w:w="965" w:type="dxa"/>
            <w:tcBorders>
              <w:bottom w:val="single" w:color="auto" w:sz="8" w:space="0"/>
            </w:tcBorders>
            <w:vAlign w:val="center"/>
          </w:tcPr>
          <w:p w14:paraId="4869607D">
            <w:pPr>
              <w:pStyle w:val="181"/>
            </w:pPr>
            <w:r>
              <w:rPr>
                <w:rFonts w:hint="eastAsia"/>
              </w:rPr>
              <w:t>○</w:t>
            </w:r>
          </w:p>
        </w:tc>
      </w:tr>
      <w:tr w14:paraId="3109C0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334" w:type="dxa"/>
            <w:gridSpan w:val="8"/>
            <w:tcBorders>
              <w:top w:val="single" w:color="auto" w:sz="8" w:space="0"/>
              <w:bottom w:val="single" w:color="auto" w:sz="8" w:space="0"/>
            </w:tcBorders>
            <w:vAlign w:val="center"/>
          </w:tcPr>
          <w:p w14:paraId="6F29C8D0">
            <w:pPr>
              <w:pStyle w:val="182"/>
            </w:pPr>
            <w:r>
              <w:rPr>
                <w:rFonts w:hint="eastAsia"/>
              </w:rPr>
              <w:t>“○”表示需要进行检验的项目，“－”表示不需要进行检验的项目。</w:t>
            </w:r>
          </w:p>
        </w:tc>
      </w:tr>
    </w:tbl>
    <w:p w14:paraId="0F120649">
      <w:pPr>
        <w:pStyle w:val="108"/>
        <w:spacing w:before="120" w:after="120"/>
      </w:pPr>
      <w:bookmarkStart w:id="132" w:name="_Toc230201930"/>
      <w:bookmarkStart w:id="133" w:name="_Toc230202001"/>
      <w:bookmarkStart w:id="134" w:name="_Toc230201967"/>
      <w:r>
        <w:rPr>
          <w:rFonts w:hint="eastAsia"/>
        </w:rPr>
        <w:t>判定规则</w:t>
      </w:r>
      <w:bookmarkEnd w:id="132"/>
      <w:bookmarkEnd w:id="133"/>
      <w:bookmarkEnd w:id="134"/>
    </w:p>
    <w:p w14:paraId="4187D332">
      <w:pPr>
        <w:pStyle w:val="59"/>
        <w:ind w:firstLine="420"/>
      </w:pPr>
      <w:r>
        <w:rPr>
          <w:rFonts w:hint="eastAsia"/>
        </w:rPr>
        <w:t>各项性能和指标应符合本文件和相关标准的规定；A类项目不合格则判定为不合格。B类项目有一项不合格，允许维修后再检，若检验合格则判定为合格品，若检验不合格则判定为不合格品。</w:t>
      </w:r>
    </w:p>
    <w:p w14:paraId="12BDF33E">
      <w:pPr>
        <w:pStyle w:val="107"/>
        <w:spacing w:before="240" w:after="240"/>
      </w:pPr>
      <w:bookmarkStart w:id="135" w:name="_Toc230201931"/>
      <w:bookmarkStart w:id="136" w:name="_Toc230202002"/>
      <w:bookmarkStart w:id="137" w:name="_Toc230201968"/>
      <w:r>
        <w:rPr>
          <w:rFonts w:hint="eastAsia"/>
        </w:rPr>
        <w:t>标志、包装、运输及贮存</w:t>
      </w:r>
      <w:bookmarkEnd w:id="135"/>
      <w:bookmarkEnd w:id="136"/>
      <w:bookmarkEnd w:id="137"/>
    </w:p>
    <w:p w14:paraId="1C294F57">
      <w:pPr>
        <w:pStyle w:val="108"/>
        <w:spacing w:before="120" w:after="120"/>
      </w:pPr>
      <w:bookmarkStart w:id="138" w:name="_Toc230201969"/>
      <w:bookmarkStart w:id="139" w:name="_Toc230201932"/>
      <w:bookmarkStart w:id="140" w:name="_Toc230202003"/>
      <w:r>
        <w:rPr>
          <w:rFonts w:hint="eastAsia"/>
        </w:rPr>
        <w:t>标志</w:t>
      </w:r>
      <w:bookmarkEnd w:id="138"/>
      <w:bookmarkEnd w:id="139"/>
      <w:bookmarkEnd w:id="140"/>
    </w:p>
    <w:p w14:paraId="77D590D2">
      <w:pPr>
        <w:pStyle w:val="168"/>
      </w:pPr>
      <w:r>
        <w:rPr>
          <w:rFonts w:hint="eastAsia"/>
        </w:rPr>
        <w:t>监测装置中有防爆要求的各零部件均应设置铭牌及标志，并应符合</w:t>
      </w:r>
      <w:r>
        <w:rPr>
          <w:rFonts w:hint="eastAsia" w:hAnsi="宋体" w:cs="宋体"/>
        </w:rPr>
        <w:t>GB/T 3836.1、GB/T 3836.2、GB/T 3836.4</w:t>
      </w:r>
      <w:r>
        <w:rPr>
          <w:rFonts w:hint="eastAsia"/>
        </w:rPr>
        <w:t>的规定。其安全标志标识应符合</w:t>
      </w:r>
      <w:r>
        <w:rPr>
          <w:rFonts w:hint="eastAsia" w:hAnsi="宋体" w:cs="宋体"/>
        </w:rPr>
        <w:t>AQ 1043</w:t>
      </w:r>
      <w:r>
        <w:rPr>
          <w:rFonts w:hint="eastAsia"/>
        </w:rPr>
        <w:t>中的相关规定。</w:t>
      </w:r>
    </w:p>
    <w:p w14:paraId="5721CEC9">
      <w:pPr>
        <w:pStyle w:val="168"/>
      </w:pPr>
      <w:r>
        <w:rPr>
          <w:rFonts w:hint="eastAsia"/>
        </w:rPr>
        <w:t>监测装置中有防爆要求的各产品外壳明显处须设置清晰的“MA”标志，和“</w:t>
      </w:r>
      <w:r>
        <w:rPr>
          <w:rFonts w:hint="eastAsia" w:hAnsi="宋体" w:cs="宋体"/>
        </w:rPr>
        <w:t>Exib I Mb</w:t>
      </w:r>
      <w:r>
        <w:rPr>
          <w:rFonts w:hint="eastAsia"/>
        </w:rPr>
        <w:t>”或“</w:t>
      </w:r>
      <w:r>
        <w:rPr>
          <w:rFonts w:hint="eastAsia" w:hAnsi="宋体" w:cs="宋体"/>
        </w:rPr>
        <w:t>Exd[ib]I Mb</w:t>
      </w:r>
      <w:r>
        <w:rPr>
          <w:rFonts w:hint="eastAsia"/>
        </w:rPr>
        <w:t>”标志。</w:t>
      </w:r>
    </w:p>
    <w:p w14:paraId="4706D0A8">
      <w:pPr>
        <w:pStyle w:val="168"/>
      </w:pPr>
      <w:r>
        <w:rPr>
          <w:rFonts w:hint="eastAsia"/>
        </w:rPr>
        <w:t>包装箱上的包装储运标志应符合</w:t>
      </w:r>
      <w:r>
        <w:rPr>
          <w:rFonts w:hint="eastAsia" w:hAnsi="宋体" w:cs="宋体"/>
        </w:rPr>
        <w:t>GB/T 191</w:t>
      </w:r>
      <w:r>
        <w:rPr>
          <w:rFonts w:hint="eastAsia"/>
        </w:rPr>
        <w:t>的规定。</w:t>
      </w:r>
    </w:p>
    <w:p w14:paraId="6B7F9C7D">
      <w:pPr>
        <w:pStyle w:val="108"/>
        <w:spacing w:before="120" w:after="120"/>
      </w:pPr>
      <w:bookmarkStart w:id="141" w:name="_Toc230201933"/>
      <w:bookmarkStart w:id="142" w:name="_Toc230202004"/>
      <w:bookmarkStart w:id="143" w:name="_Toc230201970"/>
      <w:r>
        <w:rPr>
          <w:rFonts w:hint="eastAsia"/>
        </w:rPr>
        <w:t>包装</w:t>
      </w:r>
      <w:bookmarkEnd w:id="141"/>
      <w:bookmarkEnd w:id="142"/>
      <w:bookmarkEnd w:id="143"/>
    </w:p>
    <w:p w14:paraId="19A350FD">
      <w:pPr>
        <w:pStyle w:val="59"/>
        <w:ind w:firstLine="420"/>
      </w:pPr>
      <w:r>
        <w:rPr>
          <w:rFonts w:hint="eastAsia"/>
        </w:rPr>
        <w:t>包装应符</w:t>
      </w:r>
      <w:r>
        <w:rPr>
          <w:rFonts w:hint="eastAsia" w:ascii="宋体" w:hAnsi="宋体" w:cs="宋体"/>
        </w:rPr>
        <w:t>合GB/T 13384的要</w:t>
      </w:r>
      <w:r>
        <w:rPr>
          <w:rFonts w:hint="eastAsia"/>
        </w:rPr>
        <w:t>求，随同产品提供的技术文件包括以下内容：</w:t>
      </w:r>
    </w:p>
    <w:p w14:paraId="2966AAD7">
      <w:pPr>
        <w:pStyle w:val="177"/>
        <w:numPr>
          <w:ilvl w:val="0"/>
          <w:numId w:val="34"/>
        </w:numPr>
      </w:pPr>
      <w:r>
        <w:rPr>
          <w:rFonts w:hint="eastAsia"/>
        </w:rPr>
        <w:t>使用说明书；</w:t>
      </w:r>
    </w:p>
    <w:p w14:paraId="62B4C508">
      <w:pPr>
        <w:pStyle w:val="177"/>
        <w:numPr>
          <w:ilvl w:val="0"/>
          <w:numId w:val="34"/>
        </w:numPr>
      </w:pPr>
      <w:r>
        <w:rPr>
          <w:rFonts w:hint="eastAsia"/>
        </w:rPr>
        <w:t>产品合格证；</w:t>
      </w:r>
    </w:p>
    <w:p w14:paraId="4BF7B652">
      <w:pPr>
        <w:pStyle w:val="177"/>
        <w:numPr>
          <w:ilvl w:val="0"/>
          <w:numId w:val="34"/>
        </w:numPr>
      </w:pPr>
      <w:r>
        <w:rPr>
          <w:rFonts w:hint="eastAsia"/>
        </w:rPr>
        <w:t>矿用产品安全标志证书；</w:t>
      </w:r>
    </w:p>
    <w:p w14:paraId="791A4FA3">
      <w:pPr>
        <w:pStyle w:val="177"/>
        <w:numPr>
          <w:ilvl w:val="0"/>
          <w:numId w:val="34"/>
        </w:numPr>
      </w:pPr>
      <w:r>
        <w:rPr>
          <w:rFonts w:hint="eastAsia"/>
        </w:rPr>
        <w:t>装箱单。</w:t>
      </w:r>
    </w:p>
    <w:p w14:paraId="016E16FB">
      <w:pPr>
        <w:pStyle w:val="108"/>
        <w:spacing w:before="120" w:after="120"/>
      </w:pPr>
      <w:bookmarkStart w:id="144" w:name="_Toc230201971"/>
      <w:bookmarkStart w:id="145" w:name="_Toc230201934"/>
      <w:bookmarkStart w:id="146" w:name="_Toc230202005"/>
      <w:r>
        <w:rPr>
          <w:rFonts w:hint="eastAsia"/>
        </w:rPr>
        <w:t>运输</w:t>
      </w:r>
      <w:bookmarkEnd w:id="144"/>
      <w:bookmarkEnd w:id="145"/>
      <w:bookmarkEnd w:id="146"/>
    </w:p>
    <w:p w14:paraId="77744AE9">
      <w:pPr>
        <w:pStyle w:val="59"/>
        <w:ind w:firstLine="420"/>
      </w:pPr>
      <w:r>
        <w:rPr>
          <w:rFonts w:hint="eastAsia"/>
        </w:rPr>
        <w:t>包装后的产品在避免雨雪直接淋袭的条件下，可适用于水运、陆运及空运等各种运输方式。</w:t>
      </w:r>
    </w:p>
    <w:p w14:paraId="436AC189">
      <w:pPr>
        <w:pStyle w:val="108"/>
        <w:spacing w:before="120" w:after="120"/>
      </w:pPr>
      <w:bookmarkStart w:id="147" w:name="_Toc230201935"/>
      <w:bookmarkStart w:id="148" w:name="_Toc230202006"/>
      <w:bookmarkStart w:id="149" w:name="_Toc230201972"/>
      <w:r>
        <w:rPr>
          <w:rFonts w:hint="eastAsia"/>
        </w:rPr>
        <w:t>贮存</w:t>
      </w:r>
      <w:bookmarkEnd w:id="147"/>
      <w:bookmarkEnd w:id="148"/>
      <w:bookmarkEnd w:id="149"/>
    </w:p>
    <w:p w14:paraId="718F7191">
      <w:pPr>
        <w:pStyle w:val="59"/>
        <w:ind w:firstLine="420"/>
      </w:pPr>
      <w:r>
        <w:rPr>
          <w:rFonts w:hint="eastAsia"/>
        </w:rPr>
        <w:t>包装后的产品，可在温度为</w:t>
      </w:r>
      <w:r>
        <w:t>-10 ℃～40 ℃</w:t>
      </w:r>
      <w:r>
        <w:rPr>
          <w:rFonts w:hint="eastAsia"/>
        </w:rPr>
        <w:t>，相对湿度不大于90%，无腐蚀性物质、无强烈振动的室内存放一年。</w:t>
      </w:r>
    </w:p>
    <w:bookmarkEnd w:id="24"/>
    <w:p w14:paraId="2704CED9">
      <w:pPr>
        <w:pStyle w:val="59"/>
        <w:ind w:firstLine="0" w:firstLineChars="0"/>
        <w:jc w:val="center"/>
      </w:pPr>
      <w:bookmarkStart w:id="150" w:name="BookMark8"/>
      <w:r>
        <w:rPr>
          <w:rFonts w:hint="eastAsia"/>
        </w:rPr>
        <w:drawing>
          <wp:inline distT="0" distB="0" distL="0" distR="0">
            <wp:extent cx="1485900" cy="317500"/>
            <wp:effectExtent l="0" t="0" r="0" b="6350"/>
            <wp:docPr id="1382636196" name="图片 3"/>
            <wp:cNvGraphicFramePr/>
            <a:graphic xmlns:a="http://schemas.openxmlformats.org/drawingml/2006/main">
              <a:graphicData uri="http://schemas.openxmlformats.org/drawingml/2006/picture">
                <pic:pic xmlns:pic="http://schemas.openxmlformats.org/drawingml/2006/picture">
                  <pic:nvPicPr>
                    <pic:cNvPr id="1382636196"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0"/>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6C14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53A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C6A7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A8708">
    <w:pPr>
      <w:pStyle w:val="55"/>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312F7">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8C806">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E71D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17F6F">
    <w:pPr>
      <w:pStyle w:val="64"/>
      <w:rPr>
        <w:rFonts w:hint="eastAsia"/>
      </w:rPr>
    </w:pPr>
    <w:r>
      <w:fldChar w:fldCharType="begin"/>
    </w:r>
    <w:r>
      <w:instrText xml:space="preserve"> STYLEREF  标准文件_文件编号  \* MERGEFORMAT </w:instrText>
    </w:r>
    <w:r>
      <w:fldChar w:fldCharType="separate"/>
    </w:r>
    <w:r>
      <w:t>T/NXJX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4DF0">
    <w:pPr>
      <w:pStyle w:val="19"/>
      <w:jc w:val="right"/>
    </w:pPr>
    <w:r>
      <w:fldChar w:fldCharType="begin"/>
    </w:r>
    <w:r>
      <w:instrText xml:space="preserve"> STYLEREF  标准文件_文件编号  \* MERGEFORMAT </w:instrText>
    </w:r>
    <w:r>
      <w:fldChar w:fldCharType="separate"/>
    </w:r>
    <w:r>
      <w:t>T/NXJX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color w:val="auto"/>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2D44"/>
    <w:rsid w:val="00007B3A"/>
    <w:rsid w:val="000107E0"/>
    <w:rsid w:val="00011FDE"/>
    <w:rsid w:val="00012FFD"/>
    <w:rsid w:val="00014162"/>
    <w:rsid w:val="00014340"/>
    <w:rsid w:val="00016A9C"/>
    <w:rsid w:val="00020AB4"/>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DF9"/>
    <w:rsid w:val="00067F1E"/>
    <w:rsid w:val="00070471"/>
    <w:rsid w:val="00071CC0"/>
    <w:rsid w:val="00071CFC"/>
    <w:rsid w:val="00073C8C"/>
    <w:rsid w:val="00074C6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61D"/>
    <w:rsid w:val="000A0B60"/>
    <w:rsid w:val="000A0EB8"/>
    <w:rsid w:val="000A19FC"/>
    <w:rsid w:val="000A296B"/>
    <w:rsid w:val="000A7311"/>
    <w:rsid w:val="000B060F"/>
    <w:rsid w:val="000B1592"/>
    <w:rsid w:val="000B1FF2"/>
    <w:rsid w:val="000B3CDA"/>
    <w:rsid w:val="000B3D57"/>
    <w:rsid w:val="000B6A0B"/>
    <w:rsid w:val="000C0F6C"/>
    <w:rsid w:val="000C11DB"/>
    <w:rsid w:val="000C1492"/>
    <w:rsid w:val="000C2FBD"/>
    <w:rsid w:val="000C4B41"/>
    <w:rsid w:val="000C57D6"/>
    <w:rsid w:val="000C5E78"/>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5988"/>
    <w:rsid w:val="00113666"/>
    <w:rsid w:val="00113B1E"/>
    <w:rsid w:val="0011711C"/>
    <w:rsid w:val="00124E4F"/>
    <w:rsid w:val="001260B7"/>
    <w:rsid w:val="001265CB"/>
    <w:rsid w:val="00131A4E"/>
    <w:rsid w:val="001321C6"/>
    <w:rsid w:val="001325C4"/>
    <w:rsid w:val="00133010"/>
    <w:rsid w:val="001338EE"/>
    <w:rsid w:val="00133AAE"/>
    <w:rsid w:val="001351C9"/>
    <w:rsid w:val="00135323"/>
    <w:rsid w:val="001356C4"/>
    <w:rsid w:val="00137565"/>
    <w:rsid w:val="00141114"/>
    <w:rsid w:val="00142969"/>
    <w:rsid w:val="001446C2"/>
    <w:rsid w:val="001457E7"/>
    <w:rsid w:val="00145D9D"/>
    <w:rsid w:val="00146388"/>
    <w:rsid w:val="001529E5"/>
    <w:rsid w:val="00152D9F"/>
    <w:rsid w:val="00152FB3"/>
    <w:rsid w:val="00153C7E"/>
    <w:rsid w:val="0015570F"/>
    <w:rsid w:val="00156B25"/>
    <w:rsid w:val="00156E1A"/>
    <w:rsid w:val="00157894"/>
    <w:rsid w:val="00157B55"/>
    <w:rsid w:val="00160DF7"/>
    <w:rsid w:val="001642FA"/>
    <w:rsid w:val="001649EB"/>
    <w:rsid w:val="00164BAF"/>
    <w:rsid w:val="00164FA8"/>
    <w:rsid w:val="00165065"/>
    <w:rsid w:val="00165434"/>
    <w:rsid w:val="0016580B"/>
    <w:rsid w:val="00165F49"/>
    <w:rsid w:val="00166A3D"/>
    <w:rsid w:val="00166B88"/>
    <w:rsid w:val="0016770A"/>
    <w:rsid w:val="00170804"/>
    <w:rsid w:val="001708E9"/>
    <w:rsid w:val="00172A27"/>
    <w:rsid w:val="0017340B"/>
    <w:rsid w:val="00173FB1"/>
    <w:rsid w:val="00176DFD"/>
    <w:rsid w:val="001852C9"/>
    <w:rsid w:val="00187A0B"/>
    <w:rsid w:val="00190087"/>
    <w:rsid w:val="001913C4"/>
    <w:rsid w:val="0019348F"/>
    <w:rsid w:val="00193A07"/>
    <w:rsid w:val="00194860"/>
    <w:rsid w:val="00194C95"/>
    <w:rsid w:val="00195C34"/>
    <w:rsid w:val="001960C8"/>
    <w:rsid w:val="00196EA5"/>
    <w:rsid w:val="00196EF5"/>
    <w:rsid w:val="001A1A53"/>
    <w:rsid w:val="001A234A"/>
    <w:rsid w:val="001A27C5"/>
    <w:rsid w:val="001A4CF3"/>
    <w:rsid w:val="001A6696"/>
    <w:rsid w:val="001B06E8"/>
    <w:rsid w:val="001B0708"/>
    <w:rsid w:val="001B71D0"/>
    <w:rsid w:val="001B71EE"/>
    <w:rsid w:val="001C04A8"/>
    <w:rsid w:val="001C2C03"/>
    <w:rsid w:val="001C42F7"/>
    <w:rsid w:val="001C49E5"/>
    <w:rsid w:val="001C680C"/>
    <w:rsid w:val="001C7A78"/>
    <w:rsid w:val="001C7FEA"/>
    <w:rsid w:val="001D0499"/>
    <w:rsid w:val="001D0BBE"/>
    <w:rsid w:val="001D0ED4"/>
    <w:rsid w:val="001D212F"/>
    <w:rsid w:val="001D29D7"/>
    <w:rsid w:val="001D2DE7"/>
    <w:rsid w:val="001D338A"/>
    <w:rsid w:val="001D411C"/>
    <w:rsid w:val="001E1B6A"/>
    <w:rsid w:val="001E2484"/>
    <w:rsid w:val="001E2ABA"/>
    <w:rsid w:val="001E3CC4"/>
    <w:rsid w:val="001E4882"/>
    <w:rsid w:val="001E53C6"/>
    <w:rsid w:val="001E73AB"/>
    <w:rsid w:val="001F092D"/>
    <w:rsid w:val="001F143A"/>
    <w:rsid w:val="001F1605"/>
    <w:rsid w:val="001F2508"/>
    <w:rsid w:val="001F40D8"/>
    <w:rsid w:val="001F4816"/>
    <w:rsid w:val="001F69B4"/>
    <w:rsid w:val="001F77C7"/>
    <w:rsid w:val="00200183"/>
    <w:rsid w:val="00200333"/>
    <w:rsid w:val="0020107D"/>
    <w:rsid w:val="00201AA0"/>
    <w:rsid w:val="00202AA4"/>
    <w:rsid w:val="002031F7"/>
    <w:rsid w:val="002040E6"/>
    <w:rsid w:val="0020527B"/>
    <w:rsid w:val="00205F2C"/>
    <w:rsid w:val="00210B15"/>
    <w:rsid w:val="002142EA"/>
    <w:rsid w:val="00215ADD"/>
    <w:rsid w:val="002204BB"/>
    <w:rsid w:val="002210E0"/>
    <w:rsid w:val="00221B79"/>
    <w:rsid w:val="00221C6B"/>
    <w:rsid w:val="002253A1"/>
    <w:rsid w:val="00225CF8"/>
    <w:rsid w:val="00227746"/>
    <w:rsid w:val="0022794E"/>
    <w:rsid w:val="00233D64"/>
    <w:rsid w:val="0023482A"/>
    <w:rsid w:val="002359CB"/>
    <w:rsid w:val="00243540"/>
    <w:rsid w:val="0024497B"/>
    <w:rsid w:val="0024515B"/>
    <w:rsid w:val="00246021"/>
    <w:rsid w:val="0024666E"/>
    <w:rsid w:val="0024747C"/>
    <w:rsid w:val="00247F52"/>
    <w:rsid w:val="00250B25"/>
    <w:rsid w:val="00250BBE"/>
    <w:rsid w:val="002515C2"/>
    <w:rsid w:val="0025194F"/>
    <w:rsid w:val="002537E8"/>
    <w:rsid w:val="0026148A"/>
    <w:rsid w:val="00262696"/>
    <w:rsid w:val="00263D25"/>
    <w:rsid w:val="002643C3"/>
    <w:rsid w:val="00264A0C"/>
    <w:rsid w:val="00266EEB"/>
    <w:rsid w:val="00267EF4"/>
    <w:rsid w:val="00270CB8"/>
    <w:rsid w:val="00272B08"/>
    <w:rsid w:val="00273195"/>
    <w:rsid w:val="002760B0"/>
    <w:rsid w:val="002804A4"/>
    <w:rsid w:val="00281BB8"/>
    <w:rsid w:val="00281C55"/>
    <w:rsid w:val="00281E9E"/>
    <w:rsid w:val="00282405"/>
    <w:rsid w:val="00285170"/>
    <w:rsid w:val="00285361"/>
    <w:rsid w:val="00290C16"/>
    <w:rsid w:val="00292D60"/>
    <w:rsid w:val="00293B30"/>
    <w:rsid w:val="00293F8F"/>
    <w:rsid w:val="00294D34"/>
    <w:rsid w:val="00294E3B"/>
    <w:rsid w:val="00296193"/>
    <w:rsid w:val="00296C66"/>
    <w:rsid w:val="00296EBE"/>
    <w:rsid w:val="002974E3"/>
    <w:rsid w:val="002A0709"/>
    <w:rsid w:val="002A084B"/>
    <w:rsid w:val="002A1260"/>
    <w:rsid w:val="002A1589"/>
    <w:rsid w:val="002A1608"/>
    <w:rsid w:val="002A25DC"/>
    <w:rsid w:val="002A3AAB"/>
    <w:rsid w:val="002A4CEA"/>
    <w:rsid w:val="002A5977"/>
    <w:rsid w:val="002A5A13"/>
    <w:rsid w:val="002A6DE5"/>
    <w:rsid w:val="002A757F"/>
    <w:rsid w:val="002A7F44"/>
    <w:rsid w:val="002B0C40"/>
    <w:rsid w:val="002B1966"/>
    <w:rsid w:val="002B4508"/>
    <w:rsid w:val="002B5779"/>
    <w:rsid w:val="002B607F"/>
    <w:rsid w:val="002B7332"/>
    <w:rsid w:val="002B7F51"/>
    <w:rsid w:val="002C09E7"/>
    <w:rsid w:val="002C1E06"/>
    <w:rsid w:val="002C3F07"/>
    <w:rsid w:val="002C5278"/>
    <w:rsid w:val="002C53B3"/>
    <w:rsid w:val="002C7C3E"/>
    <w:rsid w:val="002C7EBB"/>
    <w:rsid w:val="002D06C1"/>
    <w:rsid w:val="002D42B5"/>
    <w:rsid w:val="002D4F1A"/>
    <w:rsid w:val="002D5407"/>
    <w:rsid w:val="002D6EC6"/>
    <w:rsid w:val="002D79AC"/>
    <w:rsid w:val="002E039D"/>
    <w:rsid w:val="002E1AB3"/>
    <w:rsid w:val="002E4D5A"/>
    <w:rsid w:val="002E6326"/>
    <w:rsid w:val="002F2CB8"/>
    <w:rsid w:val="002F30E0"/>
    <w:rsid w:val="002F35E4"/>
    <w:rsid w:val="002F3730"/>
    <w:rsid w:val="002F38E1"/>
    <w:rsid w:val="002F7AF6"/>
    <w:rsid w:val="00300E63"/>
    <w:rsid w:val="00302F5F"/>
    <w:rsid w:val="0030441D"/>
    <w:rsid w:val="00306063"/>
    <w:rsid w:val="00307C3D"/>
    <w:rsid w:val="00310AF6"/>
    <w:rsid w:val="00313B85"/>
    <w:rsid w:val="00314535"/>
    <w:rsid w:val="00317988"/>
    <w:rsid w:val="003221B4"/>
    <w:rsid w:val="0032258D"/>
    <w:rsid w:val="00322E62"/>
    <w:rsid w:val="00324D13"/>
    <w:rsid w:val="00324EDD"/>
    <w:rsid w:val="003331E4"/>
    <w:rsid w:val="00336298"/>
    <w:rsid w:val="00336C64"/>
    <w:rsid w:val="00337162"/>
    <w:rsid w:val="0034194F"/>
    <w:rsid w:val="00344605"/>
    <w:rsid w:val="003474AA"/>
    <w:rsid w:val="00350D1D"/>
    <w:rsid w:val="00352C83"/>
    <w:rsid w:val="00352F1A"/>
    <w:rsid w:val="0036107C"/>
    <w:rsid w:val="003615D2"/>
    <w:rsid w:val="00362861"/>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263"/>
    <w:rsid w:val="0038626C"/>
    <w:rsid w:val="003866F7"/>
    <w:rsid w:val="003872FC"/>
    <w:rsid w:val="00387ADC"/>
    <w:rsid w:val="00390020"/>
    <w:rsid w:val="003903D6"/>
    <w:rsid w:val="00390EE6"/>
    <w:rsid w:val="0039118F"/>
    <w:rsid w:val="00392AD7"/>
    <w:rsid w:val="003938D9"/>
    <w:rsid w:val="00394376"/>
    <w:rsid w:val="003943FF"/>
    <w:rsid w:val="003948F9"/>
    <w:rsid w:val="003974EB"/>
    <w:rsid w:val="00397CC5"/>
    <w:rsid w:val="003A11D1"/>
    <w:rsid w:val="003A1382"/>
    <w:rsid w:val="003A1582"/>
    <w:rsid w:val="003A3D9C"/>
    <w:rsid w:val="003A4077"/>
    <w:rsid w:val="003A4AA7"/>
    <w:rsid w:val="003A7860"/>
    <w:rsid w:val="003B09AD"/>
    <w:rsid w:val="003B1F18"/>
    <w:rsid w:val="003B2A13"/>
    <w:rsid w:val="003B2B92"/>
    <w:rsid w:val="003B5BF0"/>
    <w:rsid w:val="003B60BF"/>
    <w:rsid w:val="003B6BE3"/>
    <w:rsid w:val="003B7292"/>
    <w:rsid w:val="003C010C"/>
    <w:rsid w:val="003C0A6C"/>
    <w:rsid w:val="003C13A2"/>
    <w:rsid w:val="003C14F8"/>
    <w:rsid w:val="003C5A43"/>
    <w:rsid w:val="003C672B"/>
    <w:rsid w:val="003D0519"/>
    <w:rsid w:val="003D0FF6"/>
    <w:rsid w:val="003D262C"/>
    <w:rsid w:val="003D6D61"/>
    <w:rsid w:val="003D79CB"/>
    <w:rsid w:val="003D7B8A"/>
    <w:rsid w:val="003E019F"/>
    <w:rsid w:val="003E091D"/>
    <w:rsid w:val="003E0EF5"/>
    <w:rsid w:val="003E1C53"/>
    <w:rsid w:val="003E23C6"/>
    <w:rsid w:val="003E2A69"/>
    <w:rsid w:val="003E2D49"/>
    <w:rsid w:val="003E2FD4"/>
    <w:rsid w:val="003E49F6"/>
    <w:rsid w:val="003E660F"/>
    <w:rsid w:val="003F0841"/>
    <w:rsid w:val="003F23D3"/>
    <w:rsid w:val="003F3F08"/>
    <w:rsid w:val="003F49F1"/>
    <w:rsid w:val="003F6272"/>
    <w:rsid w:val="00400E72"/>
    <w:rsid w:val="00401400"/>
    <w:rsid w:val="00402625"/>
    <w:rsid w:val="00403272"/>
    <w:rsid w:val="00404869"/>
    <w:rsid w:val="00405884"/>
    <w:rsid w:val="00407D39"/>
    <w:rsid w:val="0041477A"/>
    <w:rsid w:val="004167A3"/>
    <w:rsid w:val="00425617"/>
    <w:rsid w:val="004268CE"/>
    <w:rsid w:val="00432DAA"/>
    <w:rsid w:val="00434305"/>
    <w:rsid w:val="00435DF7"/>
    <w:rsid w:val="00436D42"/>
    <w:rsid w:val="0043741A"/>
    <w:rsid w:val="0044083F"/>
    <w:rsid w:val="00441AE7"/>
    <w:rsid w:val="00443D07"/>
    <w:rsid w:val="00445574"/>
    <w:rsid w:val="004467FB"/>
    <w:rsid w:val="00450E1D"/>
    <w:rsid w:val="00452D6B"/>
    <w:rsid w:val="00454484"/>
    <w:rsid w:val="0045517B"/>
    <w:rsid w:val="00460628"/>
    <w:rsid w:val="004615F6"/>
    <w:rsid w:val="00463B77"/>
    <w:rsid w:val="00463C7B"/>
    <w:rsid w:val="004644A6"/>
    <w:rsid w:val="004659BD"/>
    <w:rsid w:val="00470775"/>
    <w:rsid w:val="004708DC"/>
    <w:rsid w:val="00470CCC"/>
    <w:rsid w:val="004746B1"/>
    <w:rsid w:val="00475589"/>
    <w:rsid w:val="0047583F"/>
    <w:rsid w:val="00475DE8"/>
    <w:rsid w:val="00481C44"/>
    <w:rsid w:val="00484936"/>
    <w:rsid w:val="00485C89"/>
    <w:rsid w:val="00486BE3"/>
    <w:rsid w:val="0048745D"/>
    <w:rsid w:val="00487EF5"/>
    <w:rsid w:val="004905E4"/>
    <w:rsid w:val="00490A89"/>
    <w:rsid w:val="00490AB4"/>
    <w:rsid w:val="00492F02"/>
    <w:rsid w:val="004939AE"/>
    <w:rsid w:val="004A12DF"/>
    <w:rsid w:val="004A1A25"/>
    <w:rsid w:val="004A1BA8"/>
    <w:rsid w:val="004A4B57"/>
    <w:rsid w:val="004A63FA"/>
    <w:rsid w:val="004A6A3D"/>
    <w:rsid w:val="004B0272"/>
    <w:rsid w:val="004B1449"/>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3522"/>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467"/>
    <w:rsid w:val="005073F0"/>
    <w:rsid w:val="00510A7B"/>
    <w:rsid w:val="00512F6E"/>
    <w:rsid w:val="00513038"/>
    <w:rsid w:val="00514174"/>
    <w:rsid w:val="00516088"/>
    <w:rsid w:val="00516B0B"/>
    <w:rsid w:val="005220EC"/>
    <w:rsid w:val="00523ECF"/>
    <w:rsid w:val="00523F95"/>
    <w:rsid w:val="00524D65"/>
    <w:rsid w:val="005255BD"/>
    <w:rsid w:val="00525B16"/>
    <w:rsid w:val="00533D04"/>
    <w:rsid w:val="00534129"/>
    <w:rsid w:val="00534804"/>
    <w:rsid w:val="00534BDF"/>
    <w:rsid w:val="005354EA"/>
    <w:rsid w:val="0053585F"/>
    <w:rsid w:val="00535EC4"/>
    <w:rsid w:val="00535ED9"/>
    <w:rsid w:val="0053692B"/>
    <w:rsid w:val="005369A1"/>
    <w:rsid w:val="00541853"/>
    <w:rsid w:val="00543BDA"/>
    <w:rsid w:val="005441CC"/>
    <w:rsid w:val="005479DA"/>
    <w:rsid w:val="00547BCC"/>
    <w:rsid w:val="0055013B"/>
    <w:rsid w:val="00551F6F"/>
    <w:rsid w:val="00555044"/>
    <w:rsid w:val="00561475"/>
    <w:rsid w:val="00562308"/>
    <w:rsid w:val="0056487B"/>
    <w:rsid w:val="00564FB9"/>
    <w:rsid w:val="00565848"/>
    <w:rsid w:val="00573D9E"/>
    <w:rsid w:val="005801E3"/>
    <w:rsid w:val="005802A4"/>
    <w:rsid w:val="00581802"/>
    <w:rsid w:val="005836A8"/>
    <w:rsid w:val="0058409C"/>
    <w:rsid w:val="00584262"/>
    <w:rsid w:val="0058598C"/>
    <w:rsid w:val="00586630"/>
    <w:rsid w:val="00586A61"/>
    <w:rsid w:val="00587ADD"/>
    <w:rsid w:val="00593A49"/>
    <w:rsid w:val="00595B42"/>
    <w:rsid w:val="00596160"/>
    <w:rsid w:val="005966E2"/>
    <w:rsid w:val="00597007"/>
    <w:rsid w:val="005A0966"/>
    <w:rsid w:val="005A11B7"/>
    <w:rsid w:val="005A1DE7"/>
    <w:rsid w:val="005A260B"/>
    <w:rsid w:val="005A4A1B"/>
    <w:rsid w:val="005A738B"/>
    <w:rsid w:val="005A7830"/>
    <w:rsid w:val="005A7FCE"/>
    <w:rsid w:val="005B0F3F"/>
    <w:rsid w:val="005B191C"/>
    <w:rsid w:val="005B377B"/>
    <w:rsid w:val="005B4903"/>
    <w:rsid w:val="005B51CE"/>
    <w:rsid w:val="005B5885"/>
    <w:rsid w:val="005B5CD7"/>
    <w:rsid w:val="005B6CF6"/>
    <w:rsid w:val="005B7422"/>
    <w:rsid w:val="005C2776"/>
    <w:rsid w:val="005C29B8"/>
    <w:rsid w:val="005C5F21"/>
    <w:rsid w:val="005C6A4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3BA"/>
    <w:rsid w:val="00645904"/>
    <w:rsid w:val="00646773"/>
    <w:rsid w:val="00650F31"/>
    <w:rsid w:val="00651ACB"/>
    <w:rsid w:val="00651C47"/>
    <w:rsid w:val="00652AB2"/>
    <w:rsid w:val="00653FED"/>
    <w:rsid w:val="00654EC0"/>
    <w:rsid w:val="0065525B"/>
    <w:rsid w:val="00655D4F"/>
    <w:rsid w:val="00656D29"/>
    <w:rsid w:val="00660C5D"/>
    <w:rsid w:val="006640E5"/>
    <w:rsid w:val="006646F1"/>
    <w:rsid w:val="00664929"/>
    <w:rsid w:val="00664F62"/>
    <w:rsid w:val="006655E1"/>
    <w:rsid w:val="00672060"/>
    <w:rsid w:val="00672BFD"/>
    <w:rsid w:val="00674053"/>
    <w:rsid w:val="00676990"/>
    <w:rsid w:val="006770F4"/>
    <w:rsid w:val="00677A84"/>
    <w:rsid w:val="0068026D"/>
    <w:rsid w:val="00680A27"/>
    <w:rsid w:val="006816A4"/>
    <w:rsid w:val="006819B8"/>
    <w:rsid w:val="006840A6"/>
    <w:rsid w:val="006850CD"/>
    <w:rsid w:val="00685AAB"/>
    <w:rsid w:val="006873AE"/>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4FB4"/>
    <w:rsid w:val="006C5A62"/>
    <w:rsid w:val="006C5D68"/>
    <w:rsid w:val="006C6976"/>
    <w:rsid w:val="006C6DD0"/>
    <w:rsid w:val="006D04EA"/>
    <w:rsid w:val="006D16C4"/>
    <w:rsid w:val="006D3E96"/>
    <w:rsid w:val="006D4515"/>
    <w:rsid w:val="006D4BB1"/>
    <w:rsid w:val="006D6593"/>
    <w:rsid w:val="006E28E0"/>
    <w:rsid w:val="006E5C3D"/>
    <w:rsid w:val="006F03A8"/>
    <w:rsid w:val="006F2ACA"/>
    <w:rsid w:val="006F2ADC"/>
    <w:rsid w:val="006F2BFE"/>
    <w:rsid w:val="006F31E9"/>
    <w:rsid w:val="006F6284"/>
    <w:rsid w:val="007002C5"/>
    <w:rsid w:val="0070032E"/>
    <w:rsid w:val="00701AF6"/>
    <w:rsid w:val="00704387"/>
    <w:rsid w:val="00707669"/>
    <w:rsid w:val="00711CBA"/>
    <w:rsid w:val="00711FB5"/>
    <w:rsid w:val="007124FA"/>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B31"/>
    <w:rsid w:val="00752B4D"/>
    <w:rsid w:val="00755402"/>
    <w:rsid w:val="00756B26"/>
    <w:rsid w:val="00756EDF"/>
    <w:rsid w:val="007600E3"/>
    <w:rsid w:val="0076343E"/>
    <w:rsid w:val="00765C43"/>
    <w:rsid w:val="00765EFB"/>
    <w:rsid w:val="007671CA"/>
    <w:rsid w:val="00767C61"/>
    <w:rsid w:val="0077008A"/>
    <w:rsid w:val="00771B6F"/>
    <w:rsid w:val="00773689"/>
    <w:rsid w:val="00773C1F"/>
    <w:rsid w:val="00774DA4"/>
    <w:rsid w:val="00776599"/>
    <w:rsid w:val="00780BDE"/>
    <w:rsid w:val="0078114B"/>
    <w:rsid w:val="00781DD2"/>
    <w:rsid w:val="007831A3"/>
    <w:rsid w:val="00783ECF"/>
    <w:rsid w:val="0078413A"/>
    <w:rsid w:val="00791059"/>
    <w:rsid w:val="0079552A"/>
    <w:rsid w:val="007959E8"/>
    <w:rsid w:val="00795E9C"/>
    <w:rsid w:val="007A0521"/>
    <w:rsid w:val="007A2E12"/>
    <w:rsid w:val="007A3475"/>
    <w:rsid w:val="007A41C8"/>
    <w:rsid w:val="007A54CE"/>
    <w:rsid w:val="007A5D3A"/>
    <w:rsid w:val="007A6FD9"/>
    <w:rsid w:val="007A7FFA"/>
    <w:rsid w:val="007B04EB"/>
    <w:rsid w:val="007B0D4F"/>
    <w:rsid w:val="007B38E7"/>
    <w:rsid w:val="007B5A3D"/>
    <w:rsid w:val="007B5B95"/>
    <w:rsid w:val="007B6032"/>
    <w:rsid w:val="007B68EA"/>
    <w:rsid w:val="007B699E"/>
    <w:rsid w:val="007B7453"/>
    <w:rsid w:val="007C130C"/>
    <w:rsid w:val="007C1D66"/>
    <w:rsid w:val="007C2D89"/>
    <w:rsid w:val="007C4593"/>
    <w:rsid w:val="007C5309"/>
    <w:rsid w:val="007C6069"/>
    <w:rsid w:val="007C6FC9"/>
    <w:rsid w:val="007C73AD"/>
    <w:rsid w:val="007C7F99"/>
    <w:rsid w:val="007D06C4"/>
    <w:rsid w:val="007D1352"/>
    <w:rsid w:val="007D2508"/>
    <w:rsid w:val="007D346A"/>
    <w:rsid w:val="007D6518"/>
    <w:rsid w:val="007D76BD"/>
    <w:rsid w:val="007E0BF1"/>
    <w:rsid w:val="007F0577"/>
    <w:rsid w:val="007F0ED8"/>
    <w:rsid w:val="007F0F63"/>
    <w:rsid w:val="007F75CE"/>
    <w:rsid w:val="008013A4"/>
    <w:rsid w:val="008027CE"/>
    <w:rsid w:val="00802F42"/>
    <w:rsid w:val="00804383"/>
    <w:rsid w:val="00804BB7"/>
    <w:rsid w:val="00804D41"/>
    <w:rsid w:val="00807B27"/>
    <w:rsid w:val="00810257"/>
    <w:rsid w:val="008104F5"/>
    <w:rsid w:val="008104FF"/>
    <w:rsid w:val="00811072"/>
    <w:rsid w:val="00811369"/>
    <w:rsid w:val="00815419"/>
    <w:rsid w:val="008163C8"/>
    <w:rsid w:val="008164A1"/>
    <w:rsid w:val="00817325"/>
    <w:rsid w:val="008209E6"/>
    <w:rsid w:val="008212B8"/>
    <w:rsid w:val="00821D19"/>
    <w:rsid w:val="0082297E"/>
    <w:rsid w:val="00823303"/>
    <w:rsid w:val="008233B2"/>
    <w:rsid w:val="00823A9F"/>
    <w:rsid w:val="00823C85"/>
    <w:rsid w:val="00825138"/>
    <w:rsid w:val="008263A4"/>
    <w:rsid w:val="008269DD"/>
    <w:rsid w:val="00830621"/>
    <w:rsid w:val="0083348C"/>
    <w:rsid w:val="00833C0E"/>
    <w:rsid w:val="008373D3"/>
    <w:rsid w:val="00840617"/>
    <w:rsid w:val="00840F84"/>
    <w:rsid w:val="00842A47"/>
    <w:rsid w:val="00843C13"/>
    <w:rsid w:val="00843DEF"/>
    <w:rsid w:val="008454F8"/>
    <w:rsid w:val="0085173A"/>
    <w:rsid w:val="00855E91"/>
    <w:rsid w:val="008603CE"/>
    <w:rsid w:val="008620FC"/>
    <w:rsid w:val="008627A5"/>
    <w:rsid w:val="00863E05"/>
    <w:rsid w:val="00865ACA"/>
    <w:rsid w:val="00865D28"/>
    <w:rsid w:val="00865F85"/>
    <w:rsid w:val="00867C10"/>
    <w:rsid w:val="00870439"/>
    <w:rsid w:val="00870DA1"/>
    <w:rsid w:val="00883212"/>
    <w:rsid w:val="00883F93"/>
    <w:rsid w:val="00884DB3"/>
    <w:rsid w:val="00885A9D"/>
    <w:rsid w:val="00885FAE"/>
    <w:rsid w:val="008864F6"/>
    <w:rsid w:val="0089049D"/>
    <w:rsid w:val="008928C9"/>
    <w:rsid w:val="008930CB"/>
    <w:rsid w:val="008938DC"/>
    <w:rsid w:val="00893FD1"/>
    <w:rsid w:val="008943A2"/>
    <w:rsid w:val="00894836"/>
    <w:rsid w:val="00895172"/>
    <w:rsid w:val="00895680"/>
    <w:rsid w:val="00896DFF"/>
    <w:rsid w:val="0089762C"/>
    <w:rsid w:val="008A0B8D"/>
    <w:rsid w:val="008A173B"/>
    <w:rsid w:val="008A1893"/>
    <w:rsid w:val="008A57E6"/>
    <w:rsid w:val="008A6D3E"/>
    <w:rsid w:val="008A6F81"/>
    <w:rsid w:val="008A769A"/>
    <w:rsid w:val="008B0C9C"/>
    <w:rsid w:val="008B166D"/>
    <w:rsid w:val="008B17F4"/>
    <w:rsid w:val="008B3615"/>
    <w:rsid w:val="008B4AC4"/>
    <w:rsid w:val="008B50C8"/>
    <w:rsid w:val="008B5281"/>
    <w:rsid w:val="008B7D15"/>
    <w:rsid w:val="008B7E05"/>
    <w:rsid w:val="008C007C"/>
    <w:rsid w:val="008C06BE"/>
    <w:rsid w:val="008C11F4"/>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4EC"/>
    <w:rsid w:val="009273B3"/>
    <w:rsid w:val="00927B94"/>
    <w:rsid w:val="009305B5"/>
    <w:rsid w:val="009378DD"/>
    <w:rsid w:val="009429D5"/>
    <w:rsid w:val="00942BF1"/>
    <w:rsid w:val="00944907"/>
    <w:rsid w:val="00945180"/>
    <w:rsid w:val="00945428"/>
    <w:rsid w:val="0094607B"/>
    <w:rsid w:val="00950415"/>
    <w:rsid w:val="00953604"/>
    <w:rsid w:val="0095496B"/>
    <w:rsid w:val="0095609D"/>
    <w:rsid w:val="00960F1E"/>
    <w:rsid w:val="009610DC"/>
    <w:rsid w:val="00961490"/>
    <w:rsid w:val="0096334B"/>
    <w:rsid w:val="0096381A"/>
    <w:rsid w:val="00965E04"/>
    <w:rsid w:val="0096716F"/>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8C6"/>
    <w:rsid w:val="0099551B"/>
    <w:rsid w:val="00996BD2"/>
    <w:rsid w:val="00997BF1"/>
    <w:rsid w:val="009A089C"/>
    <w:rsid w:val="009A118E"/>
    <w:rsid w:val="009A21CD"/>
    <w:rsid w:val="009A278C"/>
    <w:rsid w:val="009A2BC2"/>
    <w:rsid w:val="009A42C1"/>
    <w:rsid w:val="009A5429"/>
    <w:rsid w:val="009A6F0D"/>
    <w:rsid w:val="009A72AD"/>
    <w:rsid w:val="009B09E0"/>
    <w:rsid w:val="009B0BC5"/>
    <w:rsid w:val="009B1247"/>
    <w:rsid w:val="009B6029"/>
    <w:rsid w:val="009B6971"/>
    <w:rsid w:val="009C27F1"/>
    <w:rsid w:val="009C3152"/>
    <w:rsid w:val="009C3257"/>
    <w:rsid w:val="009C4CFA"/>
    <w:rsid w:val="009C5070"/>
    <w:rsid w:val="009C5B98"/>
    <w:rsid w:val="009D07D3"/>
    <w:rsid w:val="009D112C"/>
    <w:rsid w:val="009D1385"/>
    <w:rsid w:val="009D1B4B"/>
    <w:rsid w:val="009D47FA"/>
    <w:rsid w:val="009D4C5B"/>
    <w:rsid w:val="009D4D9E"/>
    <w:rsid w:val="009D50D2"/>
    <w:rsid w:val="009D6BCA"/>
    <w:rsid w:val="009E0F62"/>
    <w:rsid w:val="009E4A58"/>
    <w:rsid w:val="009E5A2D"/>
    <w:rsid w:val="009E5AB2"/>
    <w:rsid w:val="009E6219"/>
    <w:rsid w:val="009F03B3"/>
    <w:rsid w:val="009F1A46"/>
    <w:rsid w:val="00A0096C"/>
    <w:rsid w:val="00A01757"/>
    <w:rsid w:val="00A028C0"/>
    <w:rsid w:val="00A02984"/>
    <w:rsid w:val="00A02BAE"/>
    <w:rsid w:val="00A06A6B"/>
    <w:rsid w:val="00A07E47"/>
    <w:rsid w:val="00A129D0"/>
    <w:rsid w:val="00A12C33"/>
    <w:rsid w:val="00A138BA"/>
    <w:rsid w:val="00A14C8E"/>
    <w:rsid w:val="00A153D9"/>
    <w:rsid w:val="00A15F09"/>
    <w:rsid w:val="00A16517"/>
    <w:rsid w:val="00A169B6"/>
    <w:rsid w:val="00A20F49"/>
    <w:rsid w:val="00A2190C"/>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1A9"/>
    <w:rsid w:val="00A648CD"/>
    <w:rsid w:val="00A6537A"/>
    <w:rsid w:val="00A67866"/>
    <w:rsid w:val="00A70B07"/>
    <w:rsid w:val="00A723F8"/>
    <w:rsid w:val="00A74449"/>
    <w:rsid w:val="00A76FA8"/>
    <w:rsid w:val="00A77CCB"/>
    <w:rsid w:val="00A83D8D"/>
    <w:rsid w:val="00A8446B"/>
    <w:rsid w:val="00A8473F"/>
    <w:rsid w:val="00A862D6"/>
    <w:rsid w:val="00A8715E"/>
    <w:rsid w:val="00A87D8A"/>
    <w:rsid w:val="00A9295B"/>
    <w:rsid w:val="00A93B09"/>
    <w:rsid w:val="00A952D7"/>
    <w:rsid w:val="00A963F7"/>
    <w:rsid w:val="00A96AD8"/>
    <w:rsid w:val="00AA052C"/>
    <w:rsid w:val="00AA17F2"/>
    <w:rsid w:val="00AA1E45"/>
    <w:rsid w:val="00AA38BB"/>
    <w:rsid w:val="00AA4286"/>
    <w:rsid w:val="00AA456B"/>
    <w:rsid w:val="00AA57F5"/>
    <w:rsid w:val="00AA672E"/>
    <w:rsid w:val="00AA6EC9"/>
    <w:rsid w:val="00AB04C1"/>
    <w:rsid w:val="00AB3A96"/>
    <w:rsid w:val="00AB6309"/>
    <w:rsid w:val="00AB6C40"/>
    <w:rsid w:val="00AB6C5F"/>
    <w:rsid w:val="00AB7129"/>
    <w:rsid w:val="00AC0B05"/>
    <w:rsid w:val="00AC27A6"/>
    <w:rsid w:val="00AC30F7"/>
    <w:rsid w:val="00AC3A5A"/>
    <w:rsid w:val="00AC4D95"/>
    <w:rsid w:val="00AC5DF4"/>
    <w:rsid w:val="00AD0AEF"/>
    <w:rsid w:val="00AD11B7"/>
    <w:rsid w:val="00AD161C"/>
    <w:rsid w:val="00AD1A94"/>
    <w:rsid w:val="00AD1C05"/>
    <w:rsid w:val="00AD4126"/>
    <w:rsid w:val="00AD421C"/>
    <w:rsid w:val="00AD44FA"/>
    <w:rsid w:val="00AE070A"/>
    <w:rsid w:val="00AE101C"/>
    <w:rsid w:val="00AE2A69"/>
    <w:rsid w:val="00AE37E5"/>
    <w:rsid w:val="00AE4256"/>
    <w:rsid w:val="00AE5EB4"/>
    <w:rsid w:val="00AF040F"/>
    <w:rsid w:val="00AF0C18"/>
    <w:rsid w:val="00AF47C5"/>
    <w:rsid w:val="00AF5398"/>
    <w:rsid w:val="00B011CC"/>
    <w:rsid w:val="00B02242"/>
    <w:rsid w:val="00B03823"/>
    <w:rsid w:val="00B04306"/>
    <w:rsid w:val="00B049AF"/>
    <w:rsid w:val="00B0509B"/>
    <w:rsid w:val="00B07242"/>
    <w:rsid w:val="00B079EF"/>
    <w:rsid w:val="00B10534"/>
    <w:rsid w:val="00B113DB"/>
    <w:rsid w:val="00B11D8A"/>
    <w:rsid w:val="00B12981"/>
    <w:rsid w:val="00B147DD"/>
    <w:rsid w:val="00B156FD"/>
    <w:rsid w:val="00B21F61"/>
    <w:rsid w:val="00B25AAC"/>
    <w:rsid w:val="00B261F1"/>
    <w:rsid w:val="00B265BC"/>
    <w:rsid w:val="00B31FB1"/>
    <w:rsid w:val="00B33952"/>
    <w:rsid w:val="00B33C5E"/>
    <w:rsid w:val="00B33FEB"/>
    <w:rsid w:val="00B342F4"/>
    <w:rsid w:val="00B3433F"/>
    <w:rsid w:val="00B34369"/>
    <w:rsid w:val="00B34DC2"/>
    <w:rsid w:val="00B378E5"/>
    <w:rsid w:val="00B42D44"/>
    <w:rsid w:val="00B4346D"/>
    <w:rsid w:val="00B440F4"/>
    <w:rsid w:val="00B447A5"/>
    <w:rsid w:val="00B45CF0"/>
    <w:rsid w:val="00B4654C"/>
    <w:rsid w:val="00B47293"/>
    <w:rsid w:val="00B47EF9"/>
    <w:rsid w:val="00B50E50"/>
    <w:rsid w:val="00B52120"/>
    <w:rsid w:val="00B54ABC"/>
    <w:rsid w:val="00B56FBE"/>
    <w:rsid w:val="00B601BD"/>
    <w:rsid w:val="00B60ACF"/>
    <w:rsid w:val="00B62B58"/>
    <w:rsid w:val="00B65149"/>
    <w:rsid w:val="00B66567"/>
    <w:rsid w:val="00B66F52"/>
    <w:rsid w:val="00B66FE5"/>
    <w:rsid w:val="00B677E7"/>
    <w:rsid w:val="00B72880"/>
    <w:rsid w:val="00B758BF"/>
    <w:rsid w:val="00B76980"/>
    <w:rsid w:val="00B77EC8"/>
    <w:rsid w:val="00B81FBE"/>
    <w:rsid w:val="00B827A6"/>
    <w:rsid w:val="00B831CE"/>
    <w:rsid w:val="00B86677"/>
    <w:rsid w:val="00B87131"/>
    <w:rsid w:val="00B939B1"/>
    <w:rsid w:val="00B96D40"/>
    <w:rsid w:val="00B97386"/>
    <w:rsid w:val="00BA263B"/>
    <w:rsid w:val="00BA42B2"/>
    <w:rsid w:val="00BA58D4"/>
    <w:rsid w:val="00BA5B9E"/>
    <w:rsid w:val="00BA7C9A"/>
    <w:rsid w:val="00BB479E"/>
    <w:rsid w:val="00BB5F8F"/>
    <w:rsid w:val="00BB657A"/>
    <w:rsid w:val="00BC1A4E"/>
    <w:rsid w:val="00BC5DC7"/>
    <w:rsid w:val="00BC6B8B"/>
    <w:rsid w:val="00BC73D8"/>
    <w:rsid w:val="00BD39CD"/>
    <w:rsid w:val="00BD3B19"/>
    <w:rsid w:val="00BD52D7"/>
    <w:rsid w:val="00BD5AD2"/>
    <w:rsid w:val="00BE22F3"/>
    <w:rsid w:val="00BE5B52"/>
    <w:rsid w:val="00BE69FD"/>
    <w:rsid w:val="00BE7134"/>
    <w:rsid w:val="00BE7B8D"/>
    <w:rsid w:val="00BF0993"/>
    <w:rsid w:val="00BF10A9"/>
    <w:rsid w:val="00BF1703"/>
    <w:rsid w:val="00BF231C"/>
    <w:rsid w:val="00BF51E5"/>
    <w:rsid w:val="00BF74A6"/>
    <w:rsid w:val="00C013AD"/>
    <w:rsid w:val="00C04904"/>
    <w:rsid w:val="00C056B3"/>
    <w:rsid w:val="00C066E5"/>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995"/>
    <w:rsid w:val="00C44BF5"/>
    <w:rsid w:val="00C45F96"/>
    <w:rsid w:val="00C51B65"/>
    <w:rsid w:val="00C521D6"/>
    <w:rsid w:val="00C527A4"/>
    <w:rsid w:val="00C55232"/>
    <w:rsid w:val="00C553A4"/>
    <w:rsid w:val="00C55A06"/>
    <w:rsid w:val="00C55D03"/>
    <w:rsid w:val="00C57DE0"/>
    <w:rsid w:val="00C601BC"/>
    <w:rsid w:val="00C6329F"/>
    <w:rsid w:val="00C63340"/>
    <w:rsid w:val="00C643F9"/>
    <w:rsid w:val="00C64674"/>
    <w:rsid w:val="00C64E95"/>
    <w:rsid w:val="00C65009"/>
    <w:rsid w:val="00C71372"/>
    <w:rsid w:val="00C72410"/>
    <w:rsid w:val="00C7287F"/>
    <w:rsid w:val="00C73D60"/>
    <w:rsid w:val="00C80CB8"/>
    <w:rsid w:val="00C819F8"/>
    <w:rsid w:val="00C8248C"/>
    <w:rsid w:val="00C84E33"/>
    <w:rsid w:val="00C86D6F"/>
    <w:rsid w:val="00C905FC"/>
    <w:rsid w:val="00C92D03"/>
    <w:rsid w:val="00C9319C"/>
    <w:rsid w:val="00C9435D"/>
    <w:rsid w:val="00C94DF2"/>
    <w:rsid w:val="00C96741"/>
    <w:rsid w:val="00CA2D1B"/>
    <w:rsid w:val="00CA375D"/>
    <w:rsid w:val="00CA57EF"/>
    <w:rsid w:val="00CA662A"/>
    <w:rsid w:val="00CA7AFD"/>
    <w:rsid w:val="00CA7C3C"/>
    <w:rsid w:val="00CB0189"/>
    <w:rsid w:val="00CB0BA2"/>
    <w:rsid w:val="00CB1A42"/>
    <w:rsid w:val="00CB1B0C"/>
    <w:rsid w:val="00CB2C0B"/>
    <w:rsid w:val="00CB517D"/>
    <w:rsid w:val="00CC038D"/>
    <w:rsid w:val="00CC08DB"/>
    <w:rsid w:val="00CC271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1AE"/>
    <w:rsid w:val="00CE30EA"/>
    <w:rsid w:val="00CF027A"/>
    <w:rsid w:val="00CF048A"/>
    <w:rsid w:val="00CF155A"/>
    <w:rsid w:val="00CF2947"/>
    <w:rsid w:val="00CF686F"/>
    <w:rsid w:val="00CF6E60"/>
    <w:rsid w:val="00CF7BCA"/>
    <w:rsid w:val="00D008FD"/>
    <w:rsid w:val="00D0321C"/>
    <w:rsid w:val="00D035EC"/>
    <w:rsid w:val="00D05E8A"/>
    <w:rsid w:val="00D06AB1"/>
    <w:rsid w:val="00D06FC1"/>
    <w:rsid w:val="00D072ED"/>
    <w:rsid w:val="00D07A16"/>
    <w:rsid w:val="00D1067E"/>
    <w:rsid w:val="00D10F50"/>
    <w:rsid w:val="00D11272"/>
    <w:rsid w:val="00D126F5"/>
    <w:rsid w:val="00D1489E"/>
    <w:rsid w:val="00D20737"/>
    <w:rsid w:val="00D21E81"/>
    <w:rsid w:val="00D223DE"/>
    <w:rsid w:val="00D236A5"/>
    <w:rsid w:val="00D25E37"/>
    <w:rsid w:val="00D2661A"/>
    <w:rsid w:val="00D27582"/>
    <w:rsid w:val="00D27EC4"/>
    <w:rsid w:val="00D30D8F"/>
    <w:rsid w:val="00D31129"/>
    <w:rsid w:val="00D3118A"/>
    <w:rsid w:val="00D32719"/>
    <w:rsid w:val="00D33333"/>
    <w:rsid w:val="00D352A2"/>
    <w:rsid w:val="00D4162B"/>
    <w:rsid w:val="00D4331A"/>
    <w:rsid w:val="00D4514F"/>
    <w:rsid w:val="00D451E2"/>
    <w:rsid w:val="00D45856"/>
    <w:rsid w:val="00D45E89"/>
    <w:rsid w:val="00D45E8D"/>
    <w:rsid w:val="00D466AE"/>
    <w:rsid w:val="00D46B95"/>
    <w:rsid w:val="00D4734F"/>
    <w:rsid w:val="00D511C5"/>
    <w:rsid w:val="00D51BF3"/>
    <w:rsid w:val="00D53B5A"/>
    <w:rsid w:val="00D5619B"/>
    <w:rsid w:val="00D56448"/>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1A0"/>
    <w:rsid w:val="00DA64F8"/>
    <w:rsid w:val="00DA6C15"/>
    <w:rsid w:val="00DA6E4C"/>
    <w:rsid w:val="00DB0258"/>
    <w:rsid w:val="00DB286E"/>
    <w:rsid w:val="00DB28EF"/>
    <w:rsid w:val="00DB38EE"/>
    <w:rsid w:val="00DB498B"/>
    <w:rsid w:val="00DB66CA"/>
    <w:rsid w:val="00DB6BCA"/>
    <w:rsid w:val="00DB6F54"/>
    <w:rsid w:val="00DB73F7"/>
    <w:rsid w:val="00DC0321"/>
    <w:rsid w:val="00DC3067"/>
    <w:rsid w:val="00DC370B"/>
    <w:rsid w:val="00DC5B13"/>
    <w:rsid w:val="00DC5B90"/>
    <w:rsid w:val="00DD00FF"/>
    <w:rsid w:val="00DD0619"/>
    <w:rsid w:val="00DD07FB"/>
    <w:rsid w:val="00DD25C6"/>
    <w:rsid w:val="00DD31D2"/>
    <w:rsid w:val="00DD44EF"/>
    <w:rsid w:val="00DD4FE5"/>
    <w:rsid w:val="00DD54B0"/>
    <w:rsid w:val="00DD57EE"/>
    <w:rsid w:val="00DD5EA2"/>
    <w:rsid w:val="00DD6BCC"/>
    <w:rsid w:val="00DE0A4B"/>
    <w:rsid w:val="00DE2410"/>
    <w:rsid w:val="00DE2939"/>
    <w:rsid w:val="00DE6E81"/>
    <w:rsid w:val="00DE703F"/>
    <w:rsid w:val="00DE7595"/>
    <w:rsid w:val="00DF1961"/>
    <w:rsid w:val="00DF3077"/>
    <w:rsid w:val="00DF44DE"/>
    <w:rsid w:val="00E01138"/>
    <w:rsid w:val="00E02DFB"/>
    <w:rsid w:val="00E030F9"/>
    <w:rsid w:val="00E0311A"/>
    <w:rsid w:val="00E03138"/>
    <w:rsid w:val="00E06404"/>
    <w:rsid w:val="00E117B5"/>
    <w:rsid w:val="00E11A85"/>
    <w:rsid w:val="00E12495"/>
    <w:rsid w:val="00E15CCD"/>
    <w:rsid w:val="00E202EF"/>
    <w:rsid w:val="00E210B5"/>
    <w:rsid w:val="00E2552F"/>
    <w:rsid w:val="00E2649B"/>
    <w:rsid w:val="00E3137A"/>
    <w:rsid w:val="00E32CCF"/>
    <w:rsid w:val="00E34A98"/>
    <w:rsid w:val="00E35D1E"/>
    <w:rsid w:val="00E364F9"/>
    <w:rsid w:val="00E365FA"/>
    <w:rsid w:val="00E36789"/>
    <w:rsid w:val="00E37EBB"/>
    <w:rsid w:val="00E44A83"/>
    <w:rsid w:val="00E502C1"/>
    <w:rsid w:val="00E502DD"/>
    <w:rsid w:val="00E50D3A"/>
    <w:rsid w:val="00E50D80"/>
    <w:rsid w:val="00E51387"/>
    <w:rsid w:val="00E51E68"/>
    <w:rsid w:val="00E52EFD"/>
    <w:rsid w:val="00E5408A"/>
    <w:rsid w:val="00E55624"/>
    <w:rsid w:val="00E56800"/>
    <w:rsid w:val="00E60C63"/>
    <w:rsid w:val="00E62FF9"/>
    <w:rsid w:val="00E635D6"/>
    <w:rsid w:val="00E639BC"/>
    <w:rsid w:val="00E664CC"/>
    <w:rsid w:val="00E70388"/>
    <w:rsid w:val="00E70F92"/>
    <w:rsid w:val="00E72FE0"/>
    <w:rsid w:val="00E7353A"/>
    <w:rsid w:val="00E737CC"/>
    <w:rsid w:val="00E74313"/>
    <w:rsid w:val="00E74C54"/>
    <w:rsid w:val="00E77A03"/>
    <w:rsid w:val="00E822E8"/>
    <w:rsid w:val="00E82554"/>
    <w:rsid w:val="00E82606"/>
    <w:rsid w:val="00E831C1"/>
    <w:rsid w:val="00E846C8"/>
    <w:rsid w:val="00E84957"/>
    <w:rsid w:val="00E84A55"/>
    <w:rsid w:val="00E85BFF"/>
    <w:rsid w:val="00E90391"/>
    <w:rsid w:val="00E906C2"/>
    <w:rsid w:val="00E91DC9"/>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B2"/>
    <w:rsid w:val="00EB60FE"/>
    <w:rsid w:val="00EB74DB"/>
    <w:rsid w:val="00EC09E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3C5"/>
    <w:rsid w:val="00EF7E72"/>
    <w:rsid w:val="00F06D37"/>
    <w:rsid w:val="00F07B9D"/>
    <w:rsid w:val="00F11586"/>
    <w:rsid w:val="00F1183B"/>
    <w:rsid w:val="00F11C9F"/>
    <w:rsid w:val="00F12263"/>
    <w:rsid w:val="00F1409D"/>
    <w:rsid w:val="00F14214"/>
    <w:rsid w:val="00F157A9"/>
    <w:rsid w:val="00F16F00"/>
    <w:rsid w:val="00F229A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403"/>
    <w:rsid w:val="00F56511"/>
    <w:rsid w:val="00F6194E"/>
    <w:rsid w:val="00F623AC"/>
    <w:rsid w:val="00F6412A"/>
    <w:rsid w:val="00F65893"/>
    <w:rsid w:val="00F66A4A"/>
    <w:rsid w:val="00F71E22"/>
    <w:rsid w:val="00F72142"/>
    <w:rsid w:val="00F72AE7"/>
    <w:rsid w:val="00F833BA"/>
    <w:rsid w:val="00F84CEC"/>
    <w:rsid w:val="00F84FD0"/>
    <w:rsid w:val="00F859A8"/>
    <w:rsid w:val="00F86D87"/>
    <w:rsid w:val="00F9108B"/>
    <w:rsid w:val="00F91349"/>
    <w:rsid w:val="00F93A8A"/>
    <w:rsid w:val="00F95248"/>
    <w:rsid w:val="00F956A9"/>
    <w:rsid w:val="00F963ED"/>
    <w:rsid w:val="00F966CF"/>
    <w:rsid w:val="00F96CAE"/>
    <w:rsid w:val="00F97C99"/>
    <w:rsid w:val="00FA103D"/>
    <w:rsid w:val="00FA662D"/>
    <w:rsid w:val="00FA73B1"/>
    <w:rsid w:val="00FB0CB9"/>
    <w:rsid w:val="00FB231D"/>
    <w:rsid w:val="00FB45F1"/>
    <w:rsid w:val="00FB4A72"/>
    <w:rsid w:val="00FB54E8"/>
    <w:rsid w:val="00FB7054"/>
    <w:rsid w:val="00FC17B7"/>
    <w:rsid w:val="00FC2CB7"/>
    <w:rsid w:val="00FC4090"/>
    <w:rsid w:val="00FC43AD"/>
    <w:rsid w:val="00FC55B4"/>
    <w:rsid w:val="00FD00E6"/>
    <w:rsid w:val="00FD09A1"/>
    <w:rsid w:val="00FD1D17"/>
    <w:rsid w:val="00FD2A7C"/>
    <w:rsid w:val="00FD59EB"/>
    <w:rsid w:val="00FD7299"/>
    <w:rsid w:val="00FE1FBE"/>
    <w:rsid w:val="00FE2293"/>
    <w:rsid w:val="00FE3901"/>
    <w:rsid w:val="00FE39D3"/>
    <w:rsid w:val="00FE4BCE"/>
    <w:rsid w:val="00FE54AE"/>
    <w:rsid w:val="00FE576A"/>
    <w:rsid w:val="00FE7E79"/>
    <w:rsid w:val="00FF2817"/>
    <w:rsid w:val="00FF3E7D"/>
    <w:rsid w:val="00FF4767"/>
    <w:rsid w:val="00FF5B99"/>
    <w:rsid w:val="00FF730C"/>
    <w:rsid w:val="00FF73F4"/>
    <w:rsid w:val="00FF7CE4"/>
    <w:rsid w:val="00FF7E39"/>
    <w:rsid w:val="011E1FE4"/>
    <w:rsid w:val="01424E34"/>
    <w:rsid w:val="03385B20"/>
    <w:rsid w:val="035C6DF3"/>
    <w:rsid w:val="053B7608"/>
    <w:rsid w:val="05C07B0D"/>
    <w:rsid w:val="068E5516"/>
    <w:rsid w:val="069845E6"/>
    <w:rsid w:val="07AC4D8C"/>
    <w:rsid w:val="07CA4C73"/>
    <w:rsid w:val="09DF0CA4"/>
    <w:rsid w:val="0A4F7AE8"/>
    <w:rsid w:val="0AA23957"/>
    <w:rsid w:val="0AEE06A9"/>
    <w:rsid w:val="0BAA5EE2"/>
    <w:rsid w:val="0CB336B7"/>
    <w:rsid w:val="0CEC198A"/>
    <w:rsid w:val="0D6F0D16"/>
    <w:rsid w:val="0D75673E"/>
    <w:rsid w:val="0EBE49A3"/>
    <w:rsid w:val="0EE003A5"/>
    <w:rsid w:val="0F865BE8"/>
    <w:rsid w:val="100B00D7"/>
    <w:rsid w:val="10D51453"/>
    <w:rsid w:val="111927C8"/>
    <w:rsid w:val="11D8260C"/>
    <w:rsid w:val="12ED1816"/>
    <w:rsid w:val="13760AF9"/>
    <w:rsid w:val="13C542C3"/>
    <w:rsid w:val="14A07B9B"/>
    <w:rsid w:val="14A11512"/>
    <w:rsid w:val="15B42ABF"/>
    <w:rsid w:val="15D8055B"/>
    <w:rsid w:val="15FD6214"/>
    <w:rsid w:val="17D800C7"/>
    <w:rsid w:val="18493B56"/>
    <w:rsid w:val="18BB6F82"/>
    <w:rsid w:val="18DC4A8F"/>
    <w:rsid w:val="19F064C8"/>
    <w:rsid w:val="1A27495C"/>
    <w:rsid w:val="1A491500"/>
    <w:rsid w:val="1ABB087D"/>
    <w:rsid w:val="1B3654E6"/>
    <w:rsid w:val="1C0E42E1"/>
    <w:rsid w:val="1CEE20F6"/>
    <w:rsid w:val="1E641AE9"/>
    <w:rsid w:val="20442CCE"/>
    <w:rsid w:val="20F51A7A"/>
    <w:rsid w:val="22934188"/>
    <w:rsid w:val="24181233"/>
    <w:rsid w:val="24183205"/>
    <w:rsid w:val="24A948B4"/>
    <w:rsid w:val="250E3F9A"/>
    <w:rsid w:val="26B44B43"/>
    <w:rsid w:val="27AF0171"/>
    <w:rsid w:val="28425D08"/>
    <w:rsid w:val="29CB3ABA"/>
    <w:rsid w:val="2AA10299"/>
    <w:rsid w:val="2B2A341A"/>
    <w:rsid w:val="2C167BD8"/>
    <w:rsid w:val="2D411497"/>
    <w:rsid w:val="2D612AF8"/>
    <w:rsid w:val="2ECC04AB"/>
    <w:rsid w:val="2FB96233"/>
    <w:rsid w:val="30572C6F"/>
    <w:rsid w:val="31E910D9"/>
    <w:rsid w:val="32674CE9"/>
    <w:rsid w:val="32F512F2"/>
    <w:rsid w:val="33C148CD"/>
    <w:rsid w:val="3408435A"/>
    <w:rsid w:val="340D728F"/>
    <w:rsid w:val="3487466D"/>
    <w:rsid w:val="34CC0050"/>
    <w:rsid w:val="34CE6142"/>
    <w:rsid w:val="34DF10D7"/>
    <w:rsid w:val="350F5F2C"/>
    <w:rsid w:val="35F24F62"/>
    <w:rsid w:val="36883F83"/>
    <w:rsid w:val="388606FA"/>
    <w:rsid w:val="389B278E"/>
    <w:rsid w:val="38BC04D7"/>
    <w:rsid w:val="38DA0C1B"/>
    <w:rsid w:val="39C51F4D"/>
    <w:rsid w:val="3A906711"/>
    <w:rsid w:val="3B4908C4"/>
    <w:rsid w:val="3B742225"/>
    <w:rsid w:val="3DF41BE2"/>
    <w:rsid w:val="3E4E3201"/>
    <w:rsid w:val="3E5B2140"/>
    <w:rsid w:val="3EA753E0"/>
    <w:rsid w:val="3F215B98"/>
    <w:rsid w:val="40042C13"/>
    <w:rsid w:val="40416B7A"/>
    <w:rsid w:val="404F3058"/>
    <w:rsid w:val="42902CE7"/>
    <w:rsid w:val="42A23694"/>
    <w:rsid w:val="42D54AA1"/>
    <w:rsid w:val="441647C1"/>
    <w:rsid w:val="444A59B0"/>
    <w:rsid w:val="444E2272"/>
    <w:rsid w:val="44552246"/>
    <w:rsid w:val="44F468B0"/>
    <w:rsid w:val="4567081F"/>
    <w:rsid w:val="45AC6152"/>
    <w:rsid w:val="464068A5"/>
    <w:rsid w:val="4654337F"/>
    <w:rsid w:val="47581334"/>
    <w:rsid w:val="4789225F"/>
    <w:rsid w:val="484C049B"/>
    <w:rsid w:val="49AF5C87"/>
    <w:rsid w:val="4A05330E"/>
    <w:rsid w:val="4A2319E6"/>
    <w:rsid w:val="4AE01685"/>
    <w:rsid w:val="4B6109FF"/>
    <w:rsid w:val="4B73193A"/>
    <w:rsid w:val="4C393C27"/>
    <w:rsid w:val="4D656D65"/>
    <w:rsid w:val="4D753BA4"/>
    <w:rsid w:val="50953188"/>
    <w:rsid w:val="5204425C"/>
    <w:rsid w:val="53360094"/>
    <w:rsid w:val="53E4267B"/>
    <w:rsid w:val="545C2E03"/>
    <w:rsid w:val="54CD4A28"/>
    <w:rsid w:val="54D23DEC"/>
    <w:rsid w:val="564231F4"/>
    <w:rsid w:val="565B6DA6"/>
    <w:rsid w:val="57136477"/>
    <w:rsid w:val="578876A8"/>
    <w:rsid w:val="58927551"/>
    <w:rsid w:val="593B28A8"/>
    <w:rsid w:val="5A69150A"/>
    <w:rsid w:val="5AD665CF"/>
    <w:rsid w:val="5BB068AE"/>
    <w:rsid w:val="5CDE7431"/>
    <w:rsid w:val="5D042FB1"/>
    <w:rsid w:val="5D0834B4"/>
    <w:rsid w:val="5D8F6D1E"/>
    <w:rsid w:val="5EA902B4"/>
    <w:rsid w:val="5EBD78BB"/>
    <w:rsid w:val="5F57419A"/>
    <w:rsid w:val="5F9F09F2"/>
    <w:rsid w:val="60450998"/>
    <w:rsid w:val="627604AD"/>
    <w:rsid w:val="63693DD0"/>
    <w:rsid w:val="639037F0"/>
    <w:rsid w:val="641C6D7C"/>
    <w:rsid w:val="647924D6"/>
    <w:rsid w:val="64947D16"/>
    <w:rsid w:val="65257DF4"/>
    <w:rsid w:val="654F3237"/>
    <w:rsid w:val="65B6666E"/>
    <w:rsid w:val="6608615A"/>
    <w:rsid w:val="66F31C93"/>
    <w:rsid w:val="686713E4"/>
    <w:rsid w:val="6C156F89"/>
    <w:rsid w:val="6CAD6B5B"/>
    <w:rsid w:val="6D580EC8"/>
    <w:rsid w:val="6EAE5472"/>
    <w:rsid w:val="6EF93CF2"/>
    <w:rsid w:val="6FBE6CB9"/>
    <w:rsid w:val="7039089A"/>
    <w:rsid w:val="710D0D12"/>
    <w:rsid w:val="73FD1316"/>
    <w:rsid w:val="74B92823"/>
    <w:rsid w:val="75BC312A"/>
    <w:rsid w:val="76B5566B"/>
    <w:rsid w:val="76E23F0B"/>
    <w:rsid w:val="771B6BD7"/>
    <w:rsid w:val="77435AB2"/>
    <w:rsid w:val="784729C5"/>
    <w:rsid w:val="787736ED"/>
    <w:rsid w:val="78CA5418"/>
    <w:rsid w:val="78ED16C1"/>
    <w:rsid w:val="79954710"/>
    <w:rsid w:val="79B7167F"/>
    <w:rsid w:val="7A1A7E5B"/>
    <w:rsid w:val="7B783DEE"/>
    <w:rsid w:val="7BDD5295"/>
    <w:rsid w:val="7CE85FF3"/>
    <w:rsid w:val="7D6E0B58"/>
    <w:rsid w:val="7E65648D"/>
    <w:rsid w:val="7ECF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7"/>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8"/>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Times New Roman"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style>
  <w:style w:type="paragraph" w:customStyle="1" w:styleId="192">
    <w:name w:val="标准文件_一级项2"/>
    <w:basedOn w:val="59"/>
    <w:qFormat/>
    <w:uiPriority w:val="0"/>
    <w:pPr>
      <w:numPr>
        <w:ilvl w:val="0"/>
        <w:numId w:val="31"/>
      </w:numPr>
      <w:spacing w:line="300" w:lineRule="exact"/>
      <w:ind w:firstLineChars="0"/>
    </w:p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link w:val="23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4">
    <w:name w:val="段 Char"/>
    <w:link w:val="233"/>
    <w:qFormat/>
    <w:uiPriority w:val="0"/>
    <w:rPr>
      <w:rFonts w:ascii="宋体" w:hAnsi="Times New Roman"/>
      <w:sz w:val="21"/>
    </w:rPr>
  </w:style>
  <w:style w:type="paragraph" w:customStyle="1" w:styleId="235">
    <w:name w:val="First Paragraph"/>
    <w:basedOn w:val="14"/>
    <w:next w:val="14"/>
    <w:qFormat/>
    <w:uiPriority w:val="0"/>
  </w:style>
  <w:style w:type="paragraph" w:customStyle="1" w:styleId="236">
    <w:name w:val="Compact"/>
    <w:basedOn w:val="14"/>
    <w:qFormat/>
    <w:uiPriority w:val="0"/>
  </w:style>
  <w:style w:type="character" w:customStyle="1" w:styleId="237">
    <w:name w:val="批注文字 字符"/>
    <w:basedOn w:val="30"/>
    <w:link w:val="13"/>
    <w:semiHidden/>
    <w:qFormat/>
    <w:uiPriority w:val="99"/>
    <w:rPr>
      <w:kern w:val="2"/>
      <w:sz w:val="21"/>
      <w:szCs w:val="21"/>
    </w:rPr>
  </w:style>
  <w:style w:type="character" w:customStyle="1" w:styleId="238">
    <w:name w:val="批注主题 字符"/>
    <w:basedOn w:val="237"/>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92133CCE31D48CE978B6657E432C770"/>
        <w:style w:val=""/>
        <w:category>
          <w:name w:val="常规"/>
          <w:gallery w:val="placeholder"/>
        </w:category>
        <w:types>
          <w:type w:val="bbPlcHdr"/>
        </w:types>
        <w:behaviors>
          <w:behavior w:val="content"/>
        </w:behaviors>
        <w:description w:val=""/>
        <w:guid w:val="{541DC9B3-9D32-4C27-B026-9E219E248E4F}"/>
      </w:docPartPr>
      <w:docPartBody>
        <w:p w14:paraId="6FE0B34D">
          <w:pPr>
            <w:pStyle w:val="5"/>
            <w:rPr>
              <w:rFonts w:hint="eastAsia"/>
            </w:rPr>
          </w:pPr>
          <w:r>
            <w:rPr>
              <w:rStyle w:val="4"/>
              <w:rFonts w:hint="eastAsia"/>
            </w:rPr>
            <w:t>单击或点击此处输入文字。</w:t>
          </w:r>
        </w:p>
      </w:docPartBody>
    </w:docPart>
    <w:docPart>
      <w:docPartPr>
        <w:name w:val="5E993AC8B8084682AADB48B589798193"/>
        <w:style w:val=""/>
        <w:category>
          <w:name w:val="常规"/>
          <w:gallery w:val="placeholder"/>
        </w:category>
        <w:types>
          <w:type w:val="bbPlcHdr"/>
        </w:types>
        <w:behaviors>
          <w:behavior w:val="content"/>
        </w:behaviors>
        <w:description w:val=""/>
        <w:guid w:val="{B661296C-B127-4411-9E1E-756D6C4BFFBE}"/>
      </w:docPartPr>
      <w:docPartBody>
        <w:p w14:paraId="5A6E3BF0">
          <w:pPr>
            <w:pStyle w:val="6"/>
            <w:rPr>
              <w:rFonts w:hint="eastAsia"/>
            </w:rPr>
          </w:pPr>
          <w:r>
            <w:rPr>
              <w:rStyle w:val="4"/>
              <w:rFonts w:hint="eastAsia"/>
            </w:rPr>
            <w:t>选择一项。</w:t>
          </w:r>
        </w:p>
      </w:docPartBody>
    </w:docPart>
    <w:docPart>
      <w:docPartPr>
        <w:name w:val="58EFABABD88844DAA8BEB60BEA8786EC"/>
        <w:style w:val=""/>
        <w:category>
          <w:name w:val="常规"/>
          <w:gallery w:val="placeholder"/>
        </w:category>
        <w:types>
          <w:type w:val="bbPlcHdr"/>
        </w:types>
        <w:behaviors>
          <w:behavior w:val="content"/>
        </w:behaviors>
        <w:description w:val=""/>
        <w:guid w:val="{64EF37DF-2556-48B5-ACEE-8F5174CEA433}"/>
      </w:docPartPr>
      <w:docPartBody>
        <w:p w14:paraId="2D06EAA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1C6"/>
    <w:rsid w:val="00020AB4"/>
    <w:rsid w:val="00062850"/>
    <w:rsid w:val="000650AE"/>
    <w:rsid w:val="00196EA5"/>
    <w:rsid w:val="001D21CC"/>
    <w:rsid w:val="00200073"/>
    <w:rsid w:val="003866F7"/>
    <w:rsid w:val="003B2B92"/>
    <w:rsid w:val="00436D42"/>
    <w:rsid w:val="00443D07"/>
    <w:rsid w:val="00460628"/>
    <w:rsid w:val="004C71C6"/>
    <w:rsid w:val="004E3522"/>
    <w:rsid w:val="004F6D55"/>
    <w:rsid w:val="00565CCA"/>
    <w:rsid w:val="0058598C"/>
    <w:rsid w:val="00586A61"/>
    <w:rsid w:val="005C2776"/>
    <w:rsid w:val="005F1FA1"/>
    <w:rsid w:val="00645C33"/>
    <w:rsid w:val="00660C5D"/>
    <w:rsid w:val="00742E35"/>
    <w:rsid w:val="0076415C"/>
    <w:rsid w:val="007831A3"/>
    <w:rsid w:val="007B0A7A"/>
    <w:rsid w:val="008607F0"/>
    <w:rsid w:val="00877991"/>
    <w:rsid w:val="008B79CF"/>
    <w:rsid w:val="008D2368"/>
    <w:rsid w:val="008E3184"/>
    <w:rsid w:val="00A2763F"/>
    <w:rsid w:val="00A32B68"/>
    <w:rsid w:val="00A535B7"/>
    <w:rsid w:val="00AB04C1"/>
    <w:rsid w:val="00AD2905"/>
    <w:rsid w:val="00B0509B"/>
    <w:rsid w:val="00B07826"/>
    <w:rsid w:val="00B079EF"/>
    <w:rsid w:val="00B8548D"/>
    <w:rsid w:val="00BD39CD"/>
    <w:rsid w:val="00C2626B"/>
    <w:rsid w:val="00C45276"/>
    <w:rsid w:val="00C73D60"/>
    <w:rsid w:val="00C80704"/>
    <w:rsid w:val="00D0313C"/>
    <w:rsid w:val="00D05F97"/>
    <w:rsid w:val="00D45856"/>
    <w:rsid w:val="00E72FE0"/>
    <w:rsid w:val="00EA0C5C"/>
    <w:rsid w:val="00ED61F3"/>
    <w:rsid w:val="00F07314"/>
    <w:rsid w:val="00F07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92133CCE31D48CE978B6657E432C77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E993AC8B8084682AADB48B58979819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8EFABABD88844DAA8BEB60BEA8786E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D4383-E517-4EC6-A624-9296A911014F}">
  <ds:schemaRefs/>
</ds:datastoreItem>
</file>

<file path=docProps/app.xml><?xml version="1.0" encoding="utf-8"?>
<Properties xmlns="http://schemas.openxmlformats.org/officeDocument/2006/extended-properties" xmlns:vt="http://schemas.openxmlformats.org/officeDocument/2006/docPropsVTypes">
  <Template>Normal</Template>
  <Pages>8</Pages>
  <Words>3288</Words>
  <Characters>3764</Characters>
  <Lines>435</Lines>
  <Paragraphs>397</Paragraphs>
  <TotalTime>0</TotalTime>
  <ScaleCrop>false</ScaleCrop>
  <LinksUpToDate>false</LinksUpToDate>
  <CharactersWithSpaces>3976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2026-06-26T08:27:00Z</dcterms:created>
  <dc:creator>TDBN</dc:creator>
  <cp:lastModifiedBy>王彩君</cp:lastModifiedBy>
  <cp:lastPrinted>2021-02-02T08:22:00Z</cp:lastPrinted>
  <dcterms:modified xsi:type="dcterms:W3CDTF">2026-07-14T05:53:12Z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3322E35462444B8084077115A633CD85_13</vt:lpwstr>
  </property>
  <property fmtid="{D5CDD505-2E9C-101B-9397-08002B2CF9AE}" pid="16" name="KSOTemplateDocerSaveRecord">
    <vt:lpwstr>eyJoZGlkIjoiOWJmZWUxZjVlOWY1ZjdmYWE4ZDBlMzIxOTJhZWIzMWEiLCJ1c2VySWQiOiI0NTU4MjM4MTQifQ==</vt:lpwstr>
  </property>
</Properties>
</file>