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75D8E1">
      <w:pPr>
        <w:ind w:left="0" w:leftChars="0" w:firstLine="0" w:firstLineChars="0"/>
      </w:pPr>
      <w:r>
        <w:rPr>
          <w:rFonts w:hint="eastAsia"/>
        </w:rPr>
        <w:t>附件2</w:t>
      </w:r>
    </w:p>
    <w:p w14:paraId="150DE70A">
      <w:pPr>
        <w:ind w:firstLine="1285" w:firstLineChars="400"/>
        <w:rPr>
          <w:b/>
          <w:bCs/>
        </w:rPr>
      </w:pPr>
      <w:r>
        <w:rPr>
          <w:rFonts w:hint="eastAsia"/>
          <w:b/>
          <w:bCs/>
        </w:rPr>
        <w:t>《</w:t>
      </w:r>
      <w:bookmarkStart w:id="0" w:name="OLE_LINK1"/>
      <w:r>
        <w:rPr>
          <w:rFonts w:hint="eastAsia"/>
          <w:b/>
          <w:bCs/>
        </w:rPr>
        <w:t>工业控制阀用失效保护器</w:t>
      </w:r>
      <w:bookmarkEnd w:id="0"/>
      <w:r>
        <w:rPr>
          <w:rFonts w:hint="eastAsia"/>
          <w:b/>
          <w:bCs/>
        </w:rPr>
        <w:t>》团体标准编制说明</w:t>
      </w:r>
    </w:p>
    <w:p w14:paraId="5165200E">
      <w:pPr>
        <w:ind w:firstLine="3855" w:firstLineChars="1200"/>
        <w:rPr>
          <w:b/>
          <w:bCs/>
        </w:rPr>
      </w:pPr>
      <w:r>
        <w:rPr>
          <w:rFonts w:hint="eastAsia"/>
          <w:b/>
          <w:bCs/>
        </w:rPr>
        <w:t>(征求意见稿</w:t>
      </w:r>
      <w:r>
        <w:rPr>
          <w:b/>
          <w:bCs/>
        </w:rPr>
        <w:t>)</w:t>
      </w:r>
    </w:p>
    <w:p w14:paraId="2F8BA67C">
      <w:pPr>
        <w:ind w:firstLine="560"/>
        <w:rPr>
          <w:rFonts w:hAnsi="宋体"/>
          <w:sz w:val="28"/>
          <w:szCs w:val="28"/>
        </w:rPr>
      </w:pPr>
      <w:r>
        <w:rPr>
          <w:rFonts w:hint="eastAsia" w:hAnsi="宋体"/>
          <w:sz w:val="28"/>
          <w:szCs w:val="28"/>
        </w:rPr>
        <w:t>一、工作简介</w:t>
      </w:r>
    </w:p>
    <w:p w14:paraId="1B7E9E05">
      <w:pPr>
        <w:ind w:firstLine="560"/>
        <w:rPr>
          <w:rFonts w:hAnsi="宋体"/>
          <w:sz w:val="28"/>
          <w:szCs w:val="28"/>
        </w:rPr>
      </w:pPr>
      <w:r>
        <w:rPr>
          <w:rFonts w:hint="eastAsia" w:hAnsi="宋体"/>
          <w:sz w:val="28"/>
          <w:szCs w:val="28"/>
        </w:rPr>
        <w:t>1、任务来源</w:t>
      </w:r>
    </w:p>
    <w:p w14:paraId="6380D76B">
      <w:pPr>
        <w:ind w:firstLine="560"/>
        <w:rPr>
          <w:rFonts w:hAnsi="宋体"/>
          <w:sz w:val="28"/>
          <w:szCs w:val="28"/>
        </w:rPr>
      </w:pPr>
      <w:r>
        <w:rPr>
          <w:rFonts w:hint="eastAsia" w:hAnsi="宋体"/>
          <w:sz w:val="28"/>
          <w:szCs w:val="28"/>
        </w:rPr>
        <w:t>本项目是根据宁夏机械工程学会标准制修订计划（宁机学字〔</w:t>
      </w:r>
      <w:r>
        <w:rPr>
          <w:rFonts w:hAnsi="宋体"/>
          <w:sz w:val="28"/>
          <w:szCs w:val="28"/>
        </w:rPr>
        <w:t>202</w:t>
      </w:r>
      <w:r>
        <w:rPr>
          <w:rFonts w:hint="eastAsia" w:hAnsi="宋体"/>
          <w:sz w:val="28"/>
          <w:szCs w:val="28"/>
        </w:rPr>
        <w:t>6〕7号），计划编号</w:t>
      </w:r>
      <w:r>
        <w:rPr>
          <w:rFonts w:hAnsi="宋体"/>
          <w:sz w:val="28"/>
          <w:szCs w:val="28"/>
        </w:rPr>
        <w:t>202</w:t>
      </w:r>
      <w:r>
        <w:rPr>
          <w:rFonts w:hint="eastAsia" w:hAnsi="宋体"/>
          <w:sz w:val="28"/>
          <w:szCs w:val="28"/>
        </w:rPr>
        <w:t>6</w:t>
      </w:r>
      <w:r>
        <w:rPr>
          <w:rFonts w:hAnsi="宋体"/>
          <w:sz w:val="28"/>
          <w:szCs w:val="28"/>
        </w:rPr>
        <w:t>-0</w:t>
      </w:r>
      <w:r>
        <w:rPr>
          <w:rFonts w:hint="eastAsia" w:hAnsi="宋体"/>
          <w:sz w:val="28"/>
          <w:szCs w:val="28"/>
        </w:rPr>
        <w:t>1</w:t>
      </w:r>
      <w:r>
        <w:rPr>
          <w:rFonts w:hAnsi="宋体"/>
          <w:sz w:val="28"/>
          <w:szCs w:val="28"/>
        </w:rPr>
        <w:t>0</w:t>
      </w:r>
      <w:r>
        <w:rPr>
          <w:rFonts w:hint="eastAsia" w:hAnsi="宋体"/>
          <w:sz w:val="28"/>
          <w:szCs w:val="28"/>
        </w:rPr>
        <w:t>5</w:t>
      </w:r>
      <w:r>
        <w:rPr>
          <w:rFonts w:hAnsi="宋体"/>
          <w:sz w:val="28"/>
          <w:szCs w:val="28"/>
        </w:rPr>
        <w:t>T</w:t>
      </w:r>
      <w:r>
        <w:rPr>
          <w:rFonts w:hint="eastAsia" w:hAnsi="宋体"/>
          <w:sz w:val="28"/>
          <w:szCs w:val="28"/>
        </w:rPr>
        <w:t>策划、编制，项目名称：《工业控制阀用失效保护器》进行制定。主要起草单位：吴忠仪表有限责任公司，</w:t>
      </w:r>
      <w:r>
        <w:rPr>
          <w:rFonts w:hint="eastAsia" w:hAnsi="宋体" w:cs="宋体"/>
          <w:sz w:val="28"/>
          <w:szCs w:val="28"/>
        </w:rPr>
        <w:t>中广核核电运营有限公司、阳江核电有限公司</w:t>
      </w:r>
      <w:r>
        <w:rPr>
          <w:rFonts w:hint="eastAsia" w:hAnsi="宋体"/>
          <w:sz w:val="28"/>
          <w:szCs w:val="28"/>
        </w:rPr>
        <w:t>。计划应完成时间：2</w:t>
      </w:r>
      <w:r>
        <w:rPr>
          <w:rFonts w:hAnsi="宋体"/>
          <w:sz w:val="28"/>
          <w:szCs w:val="28"/>
        </w:rPr>
        <w:t>02</w:t>
      </w:r>
      <w:r>
        <w:rPr>
          <w:rFonts w:hint="eastAsia" w:hAnsi="宋体"/>
          <w:sz w:val="28"/>
          <w:szCs w:val="28"/>
        </w:rPr>
        <w:t>6年</w:t>
      </w:r>
      <w:r>
        <w:rPr>
          <w:rFonts w:hAnsi="宋体"/>
          <w:sz w:val="28"/>
          <w:szCs w:val="28"/>
        </w:rPr>
        <w:t>10月</w:t>
      </w:r>
      <w:r>
        <w:rPr>
          <w:rFonts w:hint="eastAsia" w:hAnsi="宋体"/>
          <w:sz w:val="28"/>
          <w:szCs w:val="28"/>
        </w:rPr>
        <w:t>。</w:t>
      </w:r>
    </w:p>
    <w:p w14:paraId="60D50726">
      <w:pPr>
        <w:ind w:firstLine="560"/>
        <w:rPr>
          <w:rFonts w:hAnsi="宋体"/>
          <w:sz w:val="28"/>
          <w:szCs w:val="28"/>
        </w:rPr>
      </w:pPr>
      <w:r>
        <w:rPr>
          <w:rFonts w:hint="eastAsia" w:hAnsi="宋体"/>
          <w:sz w:val="28"/>
          <w:szCs w:val="28"/>
        </w:rPr>
        <w:t>2、主要工作过程</w:t>
      </w:r>
    </w:p>
    <w:p w14:paraId="6780307E">
      <w:pPr>
        <w:ind w:firstLine="560"/>
        <w:rPr>
          <w:rFonts w:hAnsi="宋体"/>
          <w:sz w:val="28"/>
          <w:szCs w:val="28"/>
        </w:rPr>
      </w:pPr>
      <w:r>
        <w:rPr>
          <w:rFonts w:hAnsi="宋体"/>
          <w:sz w:val="28"/>
          <w:szCs w:val="28"/>
        </w:rPr>
        <w:t>起草</w:t>
      </w:r>
      <w:r>
        <w:rPr>
          <w:rFonts w:hint="eastAsia" w:hAnsi="宋体"/>
          <w:sz w:val="28"/>
          <w:szCs w:val="28"/>
        </w:rPr>
        <w:t>（草案、论证）</w:t>
      </w:r>
      <w:r>
        <w:rPr>
          <w:rFonts w:hAnsi="宋体"/>
          <w:sz w:val="28"/>
          <w:szCs w:val="28"/>
        </w:rPr>
        <w:t>阶段</w:t>
      </w:r>
      <w:r>
        <w:rPr>
          <w:rFonts w:hint="eastAsia" w:hAnsi="宋体"/>
          <w:sz w:val="28"/>
          <w:szCs w:val="28"/>
        </w:rPr>
        <w:t>：</w:t>
      </w:r>
    </w:p>
    <w:p w14:paraId="3BD13CFF">
      <w:pPr>
        <w:ind w:firstLine="560"/>
        <w:rPr>
          <w:rFonts w:hAnsi="宋体"/>
          <w:sz w:val="28"/>
          <w:szCs w:val="28"/>
        </w:rPr>
      </w:pPr>
      <w:r>
        <w:rPr>
          <w:rFonts w:hint="eastAsia" w:hAnsi="宋体"/>
          <w:sz w:val="28"/>
          <w:szCs w:val="28"/>
        </w:rPr>
        <w:t>计划下达后，于2</w:t>
      </w:r>
      <w:r>
        <w:rPr>
          <w:rFonts w:hAnsi="宋体"/>
          <w:sz w:val="28"/>
          <w:szCs w:val="28"/>
        </w:rPr>
        <w:t>02</w:t>
      </w:r>
      <w:r>
        <w:rPr>
          <w:rFonts w:hint="eastAsia" w:hAnsi="宋体"/>
          <w:sz w:val="28"/>
          <w:szCs w:val="28"/>
        </w:rPr>
        <w:t>6</w:t>
      </w:r>
      <w:r>
        <w:rPr>
          <w:rFonts w:hAnsi="宋体"/>
          <w:sz w:val="28"/>
          <w:szCs w:val="28"/>
        </w:rPr>
        <w:t>年</w:t>
      </w:r>
      <w:r>
        <w:rPr>
          <w:rFonts w:hint="eastAsia" w:hAnsi="宋体"/>
          <w:b/>
          <w:bCs/>
          <w:sz w:val="28"/>
          <w:szCs w:val="28"/>
        </w:rPr>
        <w:t>2</w:t>
      </w:r>
      <w:r>
        <w:rPr>
          <w:rFonts w:hint="eastAsia" w:hAnsi="宋体"/>
          <w:sz w:val="28"/>
          <w:szCs w:val="28"/>
        </w:rPr>
        <w:t>月，联系了一些企业、专家，与主要起草单位的人员一起，成立了起草组；为确保标准的先进性、科学性、可操作性，起草组人员广泛搜集资料、标准，认真阅读GB</w:t>
      </w:r>
      <w:r>
        <w:rPr>
          <w:rFonts w:hAnsi="宋体"/>
          <w:sz w:val="28"/>
          <w:szCs w:val="28"/>
        </w:rPr>
        <w:t>/T 1.1-2020</w:t>
      </w:r>
      <w:r>
        <w:rPr>
          <w:rFonts w:hint="eastAsia" w:hAnsi="宋体"/>
          <w:sz w:val="28"/>
          <w:szCs w:val="28"/>
        </w:rPr>
        <w:t>、G</w:t>
      </w:r>
      <w:r>
        <w:rPr>
          <w:rFonts w:hAnsi="宋体"/>
          <w:sz w:val="28"/>
          <w:szCs w:val="28"/>
        </w:rPr>
        <w:t>B/T 20001.5-2017</w:t>
      </w:r>
      <w:r>
        <w:rPr>
          <w:rFonts w:hint="eastAsia" w:hAnsi="宋体"/>
          <w:sz w:val="28"/>
          <w:szCs w:val="28"/>
        </w:rPr>
        <w:t>及《团体标准管理规定》等文献进行大量研究分析、资料查证工作，结合实际应用经验，经过全面总结与归纳，完成了该标准草案初稿。</w:t>
      </w:r>
    </w:p>
    <w:p w14:paraId="651DD9B4">
      <w:pPr>
        <w:ind w:firstLine="560"/>
        <w:rPr>
          <w:rFonts w:hAnsi="宋体"/>
          <w:sz w:val="28"/>
          <w:szCs w:val="28"/>
        </w:rPr>
      </w:pPr>
      <w:r>
        <w:rPr>
          <w:rFonts w:hint="eastAsia" w:hAnsi="宋体"/>
          <w:sz w:val="28"/>
          <w:szCs w:val="28"/>
        </w:rPr>
        <w:t>标准草案完成后，分发各位组员、专家内部征求意见，并得到了及时反馈，主要反馈意见如下：</w:t>
      </w:r>
    </w:p>
    <w:p w14:paraId="4535AAC7">
      <w:pPr>
        <w:ind w:firstLine="560"/>
        <w:rPr>
          <w:rFonts w:hAnsi="宋体"/>
          <w:sz w:val="28"/>
          <w:szCs w:val="28"/>
          <w:highlight w:val="red"/>
        </w:rPr>
      </w:pPr>
      <w:r>
        <w:rPr>
          <w:rFonts w:hint="eastAsia" w:hAnsi="宋体"/>
          <w:sz w:val="28"/>
          <w:szCs w:val="28"/>
        </w:rPr>
        <w:t xml:space="preserve">（1）王学朋提出：第4.1分类，按使用环境分：a)核电专用：防护等级IP66,不属于分类的一种，建议删除；第4.2.3信号值：≤ </w:t>
      </w:r>
      <w:r>
        <w:rPr>
          <w:rFonts w:hAnsi="宋体"/>
          <w:sz w:val="28"/>
          <w:szCs w:val="28"/>
        </w:rPr>
        <w:t>4</w:t>
      </w:r>
      <w:r>
        <w:rPr>
          <w:rFonts w:hAnsi="宋体"/>
          <w:sz w:val="28"/>
          <w:szCs w:val="28"/>
          <w:vertAlign w:val="subscript"/>
        </w:rPr>
        <w:t xml:space="preserve"> </w:t>
      </w:r>
      <w:r>
        <w:rPr>
          <w:rFonts w:hAnsi="宋体"/>
          <w:sz w:val="28"/>
          <w:szCs w:val="28"/>
        </w:rPr>
        <w:t>mA</w:t>
      </w:r>
      <w:r>
        <w:rPr>
          <w:rFonts w:hint="eastAsia" w:hAnsi="宋体"/>
          <w:sz w:val="28"/>
          <w:szCs w:val="28"/>
        </w:rPr>
        <w:t>（可根据实际需求设定），内容不明确，可用条注表示或删除。</w:t>
      </w:r>
    </w:p>
    <w:p w14:paraId="36E56CB6">
      <w:pPr>
        <w:ind w:firstLine="560"/>
        <w:rPr>
          <w:rFonts w:hAnsi="宋体" w:cs="宋体"/>
          <w:sz w:val="28"/>
          <w:szCs w:val="28"/>
          <w:highlight w:val="red"/>
          <w:lang w:bidi="ar"/>
        </w:rPr>
      </w:pPr>
      <w:r>
        <w:rPr>
          <w:rFonts w:hint="eastAsia" w:hAnsi="宋体"/>
          <w:sz w:val="28"/>
          <w:szCs w:val="28"/>
        </w:rPr>
        <w:t>（2）王勇提出：第4.2.6工作压力：a)不需要解释，括号中的内容“1.7</w:t>
      </w:r>
      <w:r>
        <w:rPr>
          <w:rFonts w:hAnsi="宋体"/>
          <w:sz w:val="28"/>
          <w:szCs w:val="28"/>
          <w:vertAlign w:val="subscript"/>
        </w:rPr>
        <w:t xml:space="preserve"> </w:t>
      </w:r>
      <w:r>
        <w:rPr>
          <w:rFonts w:hAnsi="宋体"/>
          <w:sz w:val="28"/>
          <w:szCs w:val="28"/>
        </w:rPr>
        <w:t>bar</w:t>
      </w:r>
      <w:r>
        <w:rPr>
          <w:rFonts w:hint="eastAsia" w:hAnsi="宋体"/>
          <w:sz w:val="28"/>
          <w:szCs w:val="28"/>
        </w:rPr>
        <w:t>～10</w:t>
      </w:r>
      <w:r>
        <w:rPr>
          <w:rFonts w:hAnsi="宋体"/>
          <w:sz w:val="28"/>
          <w:szCs w:val="28"/>
          <w:vertAlign w:val="subscript"/>
        </w:rPr>
        <w:t xml:space="preserve"> </w:t>
      </w:r>
      <w:r>
        <w:rPr>
          <w:rFonts w:hint="eastAsia" w:hAnsi="宋体"/>
          <w:sz w:val="28"/>
          <w:szCs w:val="28"/>
        </w:rPr>
        <w:t>bar）” 删除 ；第5.11最后一段话“</w:t>
      </w:r>
      <w:r>
        <w:rPr>
          <w:rFonts w:hAnsi="宋体"/>
          <w:sz w:val="28"/>
          <w:szCs w:val="28"/>
        </w:rPr>
        <w:t>并应符合GB/T 20138的规定。</w:t>
      </w:r>
      <w:r>
        <w:rPr>
          <w:rFonts w:hint="eastAsia" w:hAnsi="宋体"/>
          <w:sz w:val="28"/>
          <w:szCs w:val="28"/>
        </w:rPr>
        <w:t>”应删除；第5.16、5.18、5.19等名称括号中的内容用条注的形式表达；第6.12、“按照G</w:t>
      </w:r>
      <w:r>
        <w:rPr>
          <w:rFonts w:hAnsi="宋体"/>
          <w:sz w:val="28"/>
          <w:szCs w:val="28"/>
        </w:rPr>
        <w:t>B/T</w:t>
      </w:r>
      <w:r>
        <w:rPr>
          <w:rFonts w:hint="eastAsia" w:hAnsi="宋体"/>
          <w:sz w:val="28"/>
          <w:szCs w:val="28"/>
        </w:rPr>
        <w:t xml:space="preserve"> </w:t>
      </w:r>
      <w:r>
        <w:rPr>
          <w:rFonts w:hAnsi="宋体"/>
          <w:sz w:val="28"/>
          <w:szCs w:val="28"/>
        </w:rPr>
        <w:t>2423.2</w:t>
      </w:r>
      <w:r>
        <w:rPr>
          <w:rFonts w:hint="eastAsia" w:hAnsi="宋体"/>
          <w:sz w:val="28"/>
          <w:szCs w:val="28"/>
        </w:rPr>
        <w:t>规定的“试验</w:t>
      </w:r>
      <w:r>
        <w:rPr>
          <w:rFonts w:hAnsi="宋体"/>
          <w:sz w:val="28"/>
          <w:szCs w:val="28"/>
        </w:rPr>
        <w:t>Bd</w:t>
      </w:r>
      <w:r>
        <w:rPr>
          <w:rFonts w:hint="eastAsia" w:hAnsi="宋体"/>
          <w:sz w:val="28"/>
          <w:szCs w:val="28"/>
        </w:rPr>
        <w:t>：散热试验样品温度渐变的高温试验”方法进行”类似6.13相关内容应删除，后面已有具体的试验过程；第6.15一下各条“按某标准规定的方法进行试验”以及后面解释的内容建议全部删除，只保留试验的过程描述。</w:t>
      </w:r>
    </w:p>
    <w:p w14:paraId="1A88427C">
      <w:pPr>
        <w:ind w:firstLine="560"/>
        <w:rPr>
          <w:rFonts w:hAnsi="宋体"/>
          <w:sz w:val="28"/>
          <w:szCs w:val="28"/>
        </w:rPr>
      </w:pPr>
      <w:r>
        <w:rPr>
          <w:rFonts w:hint="eastAsia" w:hAnsi="宋体"/>
          <w:sz w:val="28"/>
          <w:szCs w:val="28"/>
        </w:rPr>
        <w:t>工作组于2</w:t>
      </w:r>
      <w:r>
        <w:rPr>
          <w:rFonts w:hAnsi="宋体"/>
          <w:sz w:val="28"/>
          <w:szCs w:val="28"/>
        </w:rPr>
        <w:t>02</w:t>
      </w:r>
      <w:r>
        <w:rPr>
          <w:rFonts w:hint="eastAsia" w:hAnsi="宋体"/>
          <w:sz w:val="28"/>
          <w:szCs w:val="28"/>
        </w:rPr>
        <w:t>6</w:t>
      </w:r>
      <w:r>
        <w:rPr>
          <w:rFonts w:hAnsi="宋体"/>
          <w:sz w:val="28"/>
          <w:szCs w:val="28"/>
        </w:rPr>
        <w:t>年</w:t>
      </w:r>
      <w:r>
        <w:rPr>
          <w:rFonts w:hint="eastAsia" w:hAnsi="宋体"/>
          <w:sz w:val="28"/>
          <w:szCs w:val="28"/>
        </w:rPr>
        <w:t>3月15</w:t>
      </w:r>
      <w:r>
        <w:rPr>
          <w:rFonts w:hAnsi="宋体"/>
          <w:sz w:val="28"/>
          <w:szCs w:val="28"/>
        </w:rPr>
        <w:t>日召集会议</w:t>
      </w:r>
      <w:r>
        <w:rPr>
          <w:rFonts w:hint="eastAsia" w:hAnsi="宋体"/>
          <w:sz w:val="28"/>
          <w:szCs w:val="28"/>
        </w:rPr>
        <w:t>对初稿中提出的意见进行了讨论和修稿，于2</w:t>
      </w:r>
      <w:r>
        <w:rPr>
          <w:rFonts w:hAnsi="宋体"/>
          <w:sz w:val="28"/>
          <w:szCs w:val="28"/>
        </w:rPr>
        <w:t>02</w:t>
      </w:r>
      <w:r>
        <w:rPr>
          <w:rFonts w:hint="eastAsia" w:hAnsi="宋体"/>
          <w:sz w:val="28"/>
          <w:szCs w:val="28"/>
        </w:rPr>
        <w:t>6</w:t>
      </w:r>
      <w:r>
        <w:rPr>
          <w:rFonts w:hAnsi="宋体"/>
          <w:sz w:val="28"/>
          <w:szCs w:val="28"/>
        </w:rPr>
        <w:t>年</w:t>
      </w:r>
      <w:r>
        <w:rPr>
          <w:rFonts w:hint="eastAsia" w:hAnsi="宋体"/>
          <w:sz w:val="28"/>
          <w:szCs w:val="28"/>
        </w:rPr>
        <w:t>3月30日形成标准征求意见稿及标准编制说明等相关资料，报宁夏机械工程学会标准化委员会秘书处审核，跟进下一阶段的工作。</w:t>
      </w:r>
    </w:p>
    <w:p w14:paraId="786B43A5">
      <w:pPr>
        <w:ind w:firstLine="560"/>
        <w:rPr>
          <w:rFonts w:hAnsi="宋体"/>
          <w:sz w:val="28"/>
          <w:szCs w:val="28"/>
        </w:rPr>
      </w:pPr>
      <w:r>
        <w:rPr>
          <w:rFonts w:hint="eastAsia" w:hAnsi="宋体"/>
          <w:sz w:val="28"/>
          <w:szCs w:val="28"/>
        </w:rPr>
        <w:t>征求意见阶段：</w:t>
      </w:r>
    </w:p>
    <w:p w14:paraId="4A2BCB21">
      <w:pPr>
        <w:ind w:firstLine="0" w:firstLineChars="0"/>
        <w:rPr>
          <w:rFonts w:hAnsi="宋体"/>
          <w:sz w:val="28"/>
          <w:szCs w:val="28"/>
        </w:rPr>
      </w:pPr>
    </w:p>
    <w:p w14:paraId="0D1C9086">
      <w:pPr>
        <w:ind w:firstLine="560"/>
        <w:rPr>
          <w:rFonts w:hAnsi="宋体"/>
          <w:sz w:val="28"/>
          <w:szCs w:val="28"/>
          <w:highlight w:val="yellow"/>
        </w:rPr>
      </w:pPr>
      <w:r>
        <w:rPr>
          <w:rFonts w:hint="eastAsia" w:hAnsi="宋体"/>
          <w:sz w:val="28"/>
          <w:szCs w:val="28"/>
          <w:highlight w:val="yellow"/>
        </w:rPr>
        <w:t>送审讨论阶段：</w:t>
      </w:r>
    </w:p>
    <w:p w14:paraId="1BE12EDC">
      <w:pPr>
        <w:ind w:firstLine="560"/>
        <w:rPr>
          <w:rFonts w:hAnsi="宋体"/>
          <w:sz w:val="28"/>
          <w:szCs w:val="28"/>
        </w:rPr>
      </w:pPr>
    </w:p>
    <w:p w14:paraId="6CBCE1D1">
      <w:pPr>
        <w:ind w:firstLine="0" w:firstLineChars="0"/>
        <w:rPr>
          <w:rFonts w:hAnsi="宋体"/>
          <w:sz w:val="28"/>
          <w:szCs w:val="28"/>
        </w:rPr>
      </w:pPr>
    </w:p>
    <w:p w14:paraId="25300829">
      <w:pPr>
        <w:ind w:firstLine="560"/>
        <w:rPr>
          <w:rFonts w:hAnsi="宋体"/>
          <w:sz w:val="28"/>
          <w:szCs w:val="28"/>
        </w:rPr>
      </w:pPr>
      <w:r>
        <w:rPr>
          <w:rFonts w:hint="eastAsia" w:hAnsi="宋体"/>
          <w:sz w:val="28"/>
          <w:szCs w:val="28"/>
        </w:rPr>
        <w:t>3、参加单位及人员工作</w:t>
      </w:r>
    </w:p>
    <w:p w14:paraId="3EB5E2D6">
      <w:pPr>
        <w:ind w:firstLine="560"/>
        <w:rPr>
          <w:rFonts w:hAnsi="宋体"/>
          <w:sz w:val="28"/>
          <w:szCs w:val="28"/>
        </w:rPr>
      </w:pPr>
      <w:r>
        <w:rPr>
          <w:rFonts w:hint="eastAsia" w:hAnsi="宋体"/>
          <w:sz w:val="28"/>
          <w:szCs w:val="28"/>
        </w:rPr>
        <w:t>姜军，高级工程师，从事调节阀控制附件设计研发十多年，有丰富的调节阀控制附件研发工作经验，作为本标准文字的起草工作；王学朋、赵文宝、姜军、杨风娟、王勇、吴佳欣等技术研发人员提供了很多素材及建议；王勇负责标准的规范工作，与杨风娟对标准草案逐字逐句进行了修改；</w:t>
      </w:r>
      <w:r>
        <w:rPr>
          <w:rFonts w:hint="eastAsia" w:hAnsi="宋体" w:cs="宋体"/>
          <w:sz w:val="28"/>
          <w:szCs w:val="28"/>
        </w:rPr>
        <w:t>中广核核电运营有限公司、阳江核电有限公司等</w:t>
      </w:r>
      <w:r>
        <w:rPr>
          <w:rFonts w:hint="eastAsia" w:hAnsi="宋体"/>
          <w:sz w:val="28"/>
          <w:szCs w:val="28"/>
        </w:rPr>
        <w:t>单位的参编人员负责应用验证等方面的工作。</w:t>
      </w:r>
    </w:p>
    <w:p w14:paraId="62CC12B1">
      <w:pPr>
        <w:ind w:firstLine="560"/>
        <w:rPr>
          <w:rFonts w:hAnsi="宋体"/>
          <w:sz w:val="28"/>
          <w:szCs w:val="28"/>
        </w:rPr>
      </w:pPr>
      <w:r>
        <w:rPr>
          <w:rFonts w:hint="eastAsia" w:hAnsi="宋体"/>
          <w:sz w:val="28"/>
          <w:szCs w:val="28"/>
        </w:rPr>
        <w:t>二、标准编制原则和确定标准主要内容</w:t>
      </w:r>
    </w:p>
    <w:p w14:paraId="49F6002B">
      <w:pPr>
        <w:ind w:firstLine="560"/>
        <w:rPr>
          <w:rFonts w:hAnsi="宋体"/>
          <w:sz w:val="28"/>
          <w:szCs w:val="28"/>
        </w:rPr>
      </w:pPr>
      <w:r>
        <w:rPr>
          <w:rFonts w:hint="eastAsia" w:hAnsi="宋体"/>
          <w:sz w:val="28"/>
          <w:szCs w:val="28"/>
        </w:rPr>
        <w:t>1、标准化对象简要情况：</w:t>
      </w:r>
    </w:p>
    <w:p w14:paraId="7D7152BA">
      <w:pPr>
        <w:ind w:firstLine="560"/>
        <w:rPr>
          <w:rFonts w:hAnsi="宋体"/>
          <w:sz w:val="28"/>
          <w:szCs w:val="28"/>
        </w:rPr>
      </w:pPr>
      <w:r>
        <w:rPr>
          <w:rFonts w:hint="eastAsia" w:hAnsi="宋体"/>
          <w:sz w:val="28"/>
          <w:szCs w:val="28"/>
        </w:rPr>
        <w:t>吴忠仪表有限责任公司始建于1</w:t>
      </w:r>
      <w:r>
        <w:rPr>
          <w:rFonts w:hAnsi="宋体"/>
          <w:sz w:val="28"/>
          <w:szCs w:val="28"/>
        </w:rPr>
        <w:t>959</w:t>
      </w:r>
      <w:r>
        <w:rPr>
          <w:rFonts w:hint="eastAsia" w:hAnsi="宋体"/>
          <w:sz w:val="28"/>
          <w:szCs w:val="28"/>
        </w:rPr>
        <w:t>年，是国内最大的控制阀研发、生产、销售于一体的专业化公司；自</w:t>
      </w:r>
      <w:r>
        <w:rPr>
          <w:rFonts w:hAnsi="宋体"/>
          <w:sz w:val="28"/>
          <w:szCs w:val="28"/>
        </w:rPr>
        <w:t>2024</w:t>
      </w:r>
      <w:r>
        <w:rPr>
          <w:rFonts w:hint="eastAsia" w:hAnsi="宋体"/>
          <w:sz w:val="28"/>
          <w:szCs w:val="28"/>
        </w:rPr>
        <w:t>年开始对 工业控制阀用失效保护器研发设计。失效保护器经过一系列严格的试验，各项性能检验结果均符合相关标准要求。其功能满足核电厂调节阀在失信号或失电的情况下保持在故障位置的需求，已在广西防城港核电站试应用，效果良好，产品稳定可靠，调节精度达到用户要求。</w:t>
      </w:r>
    </w:p>
    <w:p w14:paraId="7F7F92FE">
      <w:pPr>
        <w:ind w:firstLine="560"/>
        <w:rPr>
          <w:rFonts w:hAnsi="宋体"/>
          <w:sz w:val="28"/>
          <w:szCs w:val="28"/>
        </w:rPr>
      </w:pPr>
      <w:r>
        <w:rPr>
          <w:rFonts w:hint="eastAsia" w:hAnsi="宋体"/>
          <w:sz w:val="28"/>
          <w:szCs w:val="28"/>
        </w:rPr>
        <w:t>依据市场需求并结合实际应用，失效保护器作为保障设备在故障或意外情况下安全停机的关键安全部件，与智能型定位器、保位阀配合使用，串联在阀门定位器与DCS控制系统共同构成的4mA～20mA直流电流环路中，在系统发生故障时使阀门保持原位置。失效保护器</w:t>
      </w:r>
      <w:r>
        <w:rPr>
          <w:rFonts w:hAnsi="宋体"/>
          <w:sz w:val="28"/>
          <w:szCs w:val="28"/>
        </w:rPr>
        <w:t>在仅从4mA（极低功率）环路取电的严苛条件下，</w:t>
      </w:r>
      <w:r>
        <w:rPr>
          <w:rFonts w:hint="eastAsia" w:hAnsi="宋体"/>
          <w:sz w:val="28"/>
          <w:szCs w:val="28"/>
        </w:rPr>
        <w:t>实现了低功耗驱动并具备高控制精度、快速响应、宽温域运行、零泄漏、高耐压、长寿命等高技术性能指标。</w:t>
      </w:r>
    </w:p>
    <w:p w14:paraId="5C3709FD">
      <w:pPr>
        <w:ind w:firstLine="560"/>
        <w:rPr>
          <w:rFonts w:hAnsi="宋体"/>
          <w:sz w:val="28"/>
          <w:szCs w:val="28"/>
          <w:highlight w:val="red"/>
        </w:rPr>
      </w:pPr>
      <w:r>
        <w:rPr>
          <w:rFonts w:hint="eastAsia" w:hAnsi="宋体"/>
          <w:sz w:val="28"/>
          <w:szCs w:val="28"/>
        </w:rPr>
        <w:t>目前，国内尚无厂家对失效保护器进行设计开发，为填补这一空白，制定《工业控制阀用失效保护器》团体标准，通过确立科学、先进的技术规范和质量底线，为产品设计、生产、检验提供明确依据，从而提升产品安全性与可靠性。</w:t>
      </w:r>
    </w:p>
    <w:p w14:paraId="46872885">
      <w:pPr>
        <w:ind w:firstLine="560"/>
        <w:rPr>
          <w:rFonts w:hAnsi="宋体"/>
          <w:sz w:val="28"/>
          <w:szCs w:val="28"/>
        </w:rPr>
      </w:pPr>
      <w:r>
        <w:rPr>
          <w:rFonts w:hint="eastAsia" w:hAnsi="宋体"/>
          <w:sz w:val="28"/>
          <w:szCs w:val="28"/>
        </w:rPr>
        <w:t>2、标准编制的理由与依据</w:t>
      </w:r>
    </w:p>
    <w:p w14:paraId="4A2A4896">
      <w:pPr>
        <w:ind w:firstLine="560"/>
        <w:rPr>
          <w:rFonts w:hAnsi="宋体"/>
          <w:sz w:val="28"/>
          <w:szCs w:val="28"/>
        </w:rPr>
      </w:pPr>
      <w:r>
        <w:rPr>
          <w:rFonts w:hAnsi="宋体"/>
          <w:sz w:val="28"/>
          <w:szCs w:val="28"/>
        </w:rPr>
        <w:t>本标准在起草过程中主要按GB/T 1.1—2020《标准化工作导则  第1部分:标准的结构和编写规则》的要求编写。在确定本标准主要技术指标时，综合考虑生产企业的能力、用户的利益和产品性能，寻求最大的经济、社会效益，充分体现了标准在技术上的先进性和合理性。</w:t>
      </w:r>
    </w:p>
    <w:p w14:paraId="532F8D44">
      <w:pPr>
        <w:pStyle w:val="11"/>
        <w:ind w:firstLine="560"/>
        <w:rPr>
          <w:rFonts w:hint="eastAsia" w:hAnsi="宋体"/>
          <w:sz w:val="28"/>
          <w:szCs w:val="28"/>
        </w:rPr>
      </w:pPr>
      <w:r>
        <w:rPr>
          <w:rFonts w:hint="eastAsia" w:hAnsi="宋体"/>
          <w:sz w:val="28"/>
          <w:szCs w:val="28"/>
        </w:rPr>
        <w:t>编写过程中，</w:t>
      </w:r>
      <w:r>
        <w:rPr>
          <w:rFonts w:hint="eastAsia" w:hAnsi="宋体"/>
          <w:sz w:val="28"/>
          <w:szCs w:val="28"/>
          <w:lang w:val="en-US" w:eastAsia="zh-CN"/>
        </w:rPr>
        <w:t>主要</w:t>
      </w:r>
      <w:r>
        <w:rPr>
          <w:rFonts w:hint="eastAsia" w:hAnsi="宋体"/>
          <w:sz w:val="28"/>
          <w:szCs w:val="28"/>
        </w:rPr>
        <w:t>引用了以下标准作为本规范的主要参考依据。</w:t>
      </w:r>
    </w:p>
    <w:p w14:paraId="624B3D52">
      <w:pPr>
        <w:pStyle w:val="11"/>
        <w:ind w:firstLine="560"/>
        <w:rPr>
          <w:rFonts w:hint="eastAsia" w:hAnsi="宋体"/>
          <w:sz w:val="28"/>
          <w:szCs w:val="28"/>
        </w:rPr>
      </w:pPr>
      <w:r>
        <w:rPr>
          <w:rFonts w:hint="eastAsia" w:hAnsi="宋体"/>
          <w:sz w:val="28"/>
          <w:szCs w:val="28"/>
        </w:rPr>
        <w:t xml:space="preserve">GB 17799.4 </w:t>
      </w:r>
      <w:r>
        <w:rPr>
          <w:rFonts w:hAnsi="宋体"/>
          <w:sz w:val="28"/>
          <w:szCs w:val="28"/>
        </w:rPr>
        <w:t xml:space="preserve"> 电磁兼容 通用标准 第4部分：工业环境中的发射</w:t>
      </w:r>
    </w:p>
    <w:p w14:paraId="40B34C5E">
      <w:pPr>
        <w:ind w:firstLine="560"/>
        <w:rPr>
          <w:rFonts w:hint="eastAsia" w:hAnsi="宋体" w:eastAsia="宋体"/>
          <w:sz w:val="28"/>
          <w:szCs w:val="28"/>
          <w:lang w:val="en-US" w:eastAsia="zh-CN"/>
        </w:rPr>
      </w:pPr>
      <w:r>
        <w:rPr>
          <w:rFonts w:hint="eastAsia" w:hAnsi="宋体"/>
          <w:sz w:val="28"/>
          <w:szCs w:val="28"/>
        </w:rPr>
        <w:t xml:space="preserve">GB/T 2423 </w:t>
      </w:r>
      <w:r>
        <w:rPr>
          <w:rFonts w:hAnsi="宋体"/>
          <w:sz w:val="28"/>
          <w:szCs w:val="28"/>
        </w:rPr>
        <w:t xml:space="preserve"> </w:t>
      </w:r>
      <w:r>
        <w:rPr>
          <w:rFonts w:hint="eastAsia" w:hAnsi="宋体"/>
          <w:sz w:val="28"/>
          <w:szCs w:val="28"/>
        </w:rPr>
        <w:t>电工电子产品环境试验</w:t>
      </w:r>
      <w:r>
        <w:rPr>
          <w:rFonts w:hAnsi="宋体"/>
          <w:sz w:val="28"/>
          <w:szCs w:val="28"/>
        </w:rPr>
        <w:t xml:space="preserve">  </w:t>
      </w:r>
      <w:r>
        <w:rPr>
          <w:rFonts w:hint="eastAsia" w:hAnsi="宋体"/>
          <w:sz w:val="28"/>
          <w:szCs w:val="28"/>
          <w:lang w:val="en-US" w:eastAsia="zh-CN"/>
        </w:rPr>
        <w:t xml:space="preserve"> </w:t>
      </w:r>
    </w:p>
    <w:p w14:paraId="54694E4C">
      <w:pPr>
        <w:ind w:firstLine="560"/>
        <w:rPr>
          <w:rFonts w:hint="eastAsia" w:hAnsi="宋体" w:eastAsia="宋体"/>
          <w:sz w:val="28"/>
          <w:szCs w:val="28"/>
          <w:lang w:val="en-US" w:eastAsia="zh-CN"/>
        </w:rPr>
      </w:pPr>
      <w:r>
        <w:rPr>
          <w:rFonts w:hint="eastAsia" w:hAnsi="宋体"/>
          <w:sz w:val="28"/>
          <w:szCs w:val="28"/>
        </w:rPr>
        <w:t>GB/T 3836</w:t>
      </w:r>
      <w:r>
        <w:rPr>
          <w:rFonts w:hint="eastAsia" w:hAnsi="宋体"/>
          <w:sz w:val="28"/>
          <w:szCs w:val="28"/>
          <w:lang w:val="en-US" w:eastAsia="zh-CN"/>
        </w:rPr>
        <w:t xml:space="preserve"> </w:t>
      </w:r>
      <w:r>
        <w:rPr>
          <w:rFonts w:hint="eastAsia" w:hAnsi="宋体"/>
          <w:sz w:val="28"/>
          <w:szCs w:val="28"/>
        </w:rPr>
        <w:t xml:space="preserve">爆炸性环境 </w:t>
      </w:r>
      <w:r>
        <w:rPr>
          <w:rFonts w:hAnsi="宋体"/>
          <w:sz w:val="28"/>
          <w:szCs w:val="28"/>
        </w:rPr>
        <w:t xml:space="preserve"> </w:t>
      </w:r>
      <w:r>
        <w:rPr>
          <w:rFonts w:hint="eastAsia" w:hAnsi="宋体"/>
          <w:sz w:val="28"/>
          <w:szCs w:val="28"/>
          <w:lang w:val="en-US" w:eastAsia="zh-CN"/>
        </w:rPr>
        <w:t xml:space="preserve"> </w:t>
      </w:r>
    </w:p>
    <w:p w14:paraId="66ED8B21">
      <w:pPr>
        <w:ind w:firstLine="560"/>
        <w:rPr>
          <w:rFonts w:hAnsi="宋体"/>
          <w:sz w:val="28"/>
          <w:szCs w:val="28"/>
        </w:rPr>
      </w:pPr>
      <w:r>
        <w:rPr>
          <w:rFonts w:hint="eastAsia" w:hAnsi="宋体"/>
          <w:sz w:val="28"/>
          <w:szCs w:val="28"/>
        </w:rPr>
        <w:t xml:space="preserve">GB/T 4208 </w:t>
      </w:r>
      <w:r>
        <w:rPr>
          <w:rFonts w:hAnsi="宋体"/>
          <w:sz w:val="28"/>
          <w:szCs w:val="28"/>
        </w:rPr>
        <w:t xml:space="preserve"> </w:t>
      </w:r>
      <w:r>
        <w:rPr>
          <w:rFonts w:hint="eastAsia" w:hAnsi="宋体"/>
          <w:sz w:val="28"/>
          <w:szCs w:val="28"/>
        </w:rPr>
        <w:t>外壳防护等级（IP代码）</w:t>
      </w:r>
    </w:p>
    <w:p w14:paraId="0293E6D6">
      <w:pPr>
        <w:ind w:firstLine="560"/>
        <w:rPr>
          <w:rFonts w:hint="eastAsia" w:hAnsi="宋体" w:eastAsia="宋体"/>
          <w:sz w:val="28"/>
          <w:szCs w:val="28"/>
          <w:lang w:val="en-US" w:eastAsia="zh-CN"/>
        </w:rPr>
      </w:pPr>
      <w:r>
        <w:rPr>
          <w:rFonts w:hint="eastAsia" w:hAnsi="宋体"/>
          <w:sz w:val="28"/>
          <w:szCs w:val="28"/>
        </w:rPr>
        <w:t>GB/T 17626</w:t>
      </w:r>
      <w:r>
        <w:rPr>
          <w:rFonts w:hint="eastAsia" w:hAnsi="宋体"/>
          <w:sz w:val="28"/>
          <w:szCs w:val="28"/>
          <w:lang w:val="en-US" w:eastAsia="zh-CN"/>
        </w:rPr>
        <w:t xml:space="preserve"> </w:t>
      </w:r>
      <w:r>
        <w:rPr>
          <w:rFonts w:hint="eastAsia" w:hAnsi="宋体"/>
          <w:sz w:val="28"/>
          <w:szCs w:val="28"/>
        </w:rPr>
        <w:t xml:space="preserve"> </w:t>
      </w:r>
      <w:r>
        <w:rPr>
          <w:rFonts w:hAnsi="宋体"/>
          <w:sz w:val="28"/>
          <w:szCs w:val="28"/>
        </w:rPr>
        <w:t xml:space="preserve"> </w:t>
      </w:r>
      <w:r>
        <w:rPr>
          <w:rFonts w:hint="eastAsia" w:hAnsi="宋体"/>
          <w:sz w:val="28"/>
          <w:szCs w:val="28"/>
        </w:rPr>
        <w:t xml:space="preserve">电磁兼容 试验和测量技术 </w:t>
      </w:r>
      <w:r>
        <w:rPr>
          <w:rFonts w:hint="eastAsia" w:hAnsi="宋体"/>
          <w:sz w:val="28"/>
          <w:szCs w:val="28"/>
          <w:lang w:val="en-US" w:eastAsia="zh-CN"/>
        </w:rPr>
        <w:t xml:space="preserve"> </w:t>
      </w:r>
    </w:p>
    <w:p w14:paraId="7F0B583C">
      <w:pPr>
        <w:ind w:firstLine="560"/>
        <w:rPr>
          <w:rFonts w:hAnsi="宋体"/>
          <w:sz w:val="28"/>
          <w:szCs w:val="28"/>
        </w:rPr>
      </w:pPr>
      <w:r>
        <w:rPr>
          <w:rFonts w:hint="eastAsia" w:hAnsi="宋体"/>
          <w:sz w:val="28"/>
          <w:szCs w:val="28"/>
        </w:rPr>
        <w:t xml:space="preserve">GB/T 20138 </w:t>
      </w:r>
      <w:r>
        <w:rPr>
          <w:rFonts w:hAnsi="宋体"/>
          <w:sz w:val="28"/>
          <w:szCs w:val="28"/>
        </w:rPr>
        <w:t xml:space="preserve"> </w:t>
      </w:r>
      <w:r>
        <w:rPr>
          <w:rFonts w:hint="eastAsia" w:hAnsi="宋体"/>
          <w:sz w:val="28"/>
          <w:szCs w:val="28"/>
        </w:rPr>
        <w:t>电器设备外壳对外界机械碰撞的防护等级（IK代码）</w:t>
      </w:r>
    </w:p>
    <w:p w14:paraId="7144F45A">
      <w:pPr>
        <w:ind w:firstLine="560"/>
        <w:rPr>
          <w:rFonts w:hAnsi="宋体"/>
          <w:sz w:val="28"/>
          <w:szCs w:val="28"/>
        </w:rPr>
      </w:pPr>
      <w:bookmarkStart w:id="1" w:name="OLE_LINK9"/>
      <w:r>
        <w:rPr>
          <w:rFonts w:hint="eastAsia" w:hAnsi="宋体"/>
          <w:sz w:val="28"/>
          <w:szCs w:val="28"/>
        </w:rPr>
        <w:t>EJ/T 1197-2007</w:t>
      </w:r>
      <w:bookmarkEnd w:id="1"/>
      <w:r>
        <w:rPr>
          <w:rFonts w:hint="eastAsia" w:hAnsi="宋体"/>
          <w:sz w:val="28"/>
          <w:szCs w:val="28"/>
        </w:rPr>
        <w:t xml:space="preserve"> </w:t>
      </w:r>
      <w:r>
        <w:rPr>
          <w:rFonts w:hAnsi="宋体"/>
          <w:sz w:val="28"/>
          <w:szCs w:val="28"/>
        </w:rPr>
        <w:t xml:space="preserve"> </w:t>
      </w:r>
      <w:r>
        <w:rPr>
          <w:rFonts w:hint="eastAsia" w:hAnsi="宋体"/>
          <w:sz w:val="28"/>
          <w:szCs w:val="28"/>
        </w:rPr>
        <w:t>核电厂安全级电气设备质量鉴定试验方法与环境条件</w:t>
      </w:r>
    </w:p>
    <w:p w14:paraId="41FD11A7">
      <w:pPr>
        <w:ind w:firstLine="560"/>
        <w:rPr>
          <w:rFonts w:hAnsi="宋体"/>
          <w:sz w:val="28"/>
          <w:szCs w:val="28"/>
        </w:rPr>
      </w:pPr>
      <w:r>
        <w:rPr>
          <w:rFonts w:hint="eastAsia" w:hAnsi="宋体"/>
          <w:sz w:val="28"/>
          <w:szCs w:val="28"/>
        </w:rPr>
        <w:t xml:space="preserve">NB/T 20040-2011 </w:t>
      </w:r>
      <w:r>
        <w:rPr>
          <w:rFonts w:hAnsi="宋体"/>
          <w:sz w:val="28"/>
          <w:szCs w:val="28"/>
        </w:rPr>
        <w:t xml:space="preserve"> </w:t>
      </w:r>
      <w:r>
        <w:rPr>
          <w:rFonts w:hint="eastAsia" w:hAnsi="宋体"/>
          <w:sz w:val="28"/>
          <w:szCs w:val="28"/>
        </w:rPr>
        <w:t>核电厂安全级电气设备抗震鉴定试验规则</w:t>
      </w:r>
    </w:p>
    <w:p w14:paraId="249B0185">
      <w:pPr>
        <w:ind w:firstLine="560"/>
        <w:rPr>
          <w:rFonts w:hAnsi="宋体"/>
          <w:sz w:val="28"/>
          <w:szCs w:val="28"/>
        </w:rPr>
      </w:pPr>
      <w:r>
        <w:rPr>
          <w:rFonts w:hint="eastAsia" w:hAnsi="宋体"/>
          <w:sz w:val="28"/>
          <w:szCs w:val="28"/>
        </w:rPr>
        <w:t xml:space="preserve">NB/T 20093-2012 </w:t>
      </w:r>
      <w:r>
        <w:rPr>
          <w:rFonts w:hAnsi="宋体"/>
          <w:sz w:val="28"/>
          <w:szCs w:val="28"/>
        </w:rPr>
        <w:t xml:space="preserve"> </w:t>
      </w:r>
      <w:r>
        <w:rPr>
          <w:rFonts w:hint="eastAsia" w:hAnsi="宋体"/>
          <w:sz w:val="28"/>
          <w:szCs w:val="28"/>
        </w:rPr>
        <w:t>核电厂安全级阀门驱动装置的鉴定</w:t>
      </w:r>
      <w:bookmarkStart w:id="5" w:name="_GoBack"/>
      <w:bookmarkEnd w:id="5"/>
    </w:p>
    <w:p w14:paraId="69961A97">
      <w:pPr>
        <w:ind w:firstLine="560"/>
        <w:rPr>
          <w:rFonts w:hAnsi="宋体"/>
          <w:sz w:val="28"/>
          <w:szCs w:val="28"/>
        </w:rPr>
      </w:pPr>
      <w:r>
        <w:rPr>
          <w:rFonts w:hint="eastAsia" w:hAnsi="宋体"/>
          <w:sz w:val="28"/>
          <w:szCs w:val="28"/>
        </w:rPr>
        <w:t>3、</w:t>
      </w:r>
      <w:r>
        <w:rPr>
          <w:rFonts w:hAnsi="宋体"/>
          <w:sz w:val="28"/>
          <w:szCs w:val="28"/>
        </w:rPr>
        <w:t>制订标准的原则</w:t>
      </w:r>
    </w:p>
    <w:p w14:paraId="3E86F370">
      <w:pPr>
        <w:ind w:firstLine="560"/>
        <w:rPr>
          <w:rFonts w:hAnsi="宋体"/>
          <w:sz w:val="28"/>
          <w:szCs w:val="28"/>
        </w:rPr>
      </w:pPr>
      <w:r>
        <w:rPr>
          <w:rFonts w:hAnsi="宋体"/>
          <w:sz w:val="28"/>
          <w:szCs w:val="28"/>
        </w:rPr>
        <w:t>本标准在制订过程中，遵循“面向市场、服务产业、自主制定、适时推出、及时修订、不断完善”的原则，注重标准修订与技术创新、试验验证、产业推进、应用推广相结合，本着先进性、科学性、合理性和可操作性以及标准的目标、统一性、协调性、适用性、一致性和规范性的原则来进行本标准的制定工作。</w:t>
      </w:r>
    </w:p>
    <w:p w14:paraId="5A35EEB2">
      <w:pPr>
        <w:ind w:firstLine="560"/>
        <w:rPr>
          <w:rFonts w:hAnsi="宋体"/>
          <w:sz w:val="28"/>
          <w:szCs w:val="28"/>
        </w:rPr>
      </w:pPr>
      <w:r>
        <w:rPr>
          <w:rFonts w:hint="eastAsia" w:hAnsi="宋体"/>
          <w:sz w:val="28"/>
          <w:szCs w:val="28"/>
        </w:rPr>
        <w:t>三、标准的主要内容</w:t>
      </w:r>
    </w:p>
    <w:p w14:paraId="621308CA">
      <w:pPr>
        <w:ind w:firstLine="560"/>
        <w:rPr>
          <w:rFonts w:hAnsi="宋体"/>
          <w:sz w:val="28"/>
          <w:szCs w:val="28"/>
        </w:rPr>
      </w:pPr>
      <w:r>
        <w:rPr>
          <w:rFonts w:hint="eastAsia" w:hAnsi="宋体"/>
          <w:sz w:val="28"/>
          <w:szCs w:val="28"/>
        </w:rPr>
        <w:t>1、标准的目标</w:t>
      </w:r>
    </w:p>
    <w:p w14:paraId="0F451D54">
      <w:pPr>
        <w:ind w:firstLine="560"/>
        <w:rPr>
          <w:rFonts w:hAnsi="宋体"/>
          <w:sz w:val="28"/>
          <w:szCs w:val="28"/>
        </w:rPr>
      </w:pPr>
      <w:r>
        <w:rPr>
          <w:rFonts w:hint="eastAsia" w:hAnsi="宋体"/>
          <w:sz w:val="28"/>
          <w:szCs w:val="28"/>
        </w:rPr>
        <w:t>⑴理论联系实际，既考虑失效保护器在核电严苛工况中使用的安全性，又考虑其生产成本和使用寿命，提高标准的科学性和实用性；</w:t>
      </w:r>
    </w:p>
    <w:p w14:paraId="6982E13A">
      <w:pPr>
        <w:ind w:firstLine="560"/>
        <w:rPr>
          <w:rFonts w:hAnsi="宋体"/>
          <w:sz w:val="28"/>
          <w:szCs w:val="28"/>
        </w:rPr>
      </w:pPr>
      <w:r>
        <w:rPr>
          <w:rFonts w:hint="eastAsia" w:hAnsi="宋体"/>
          <w:sz w:val="28"/>
          <w:szCs w:val="28"/>
        </w:rPr>
        <w:t>⑵本标准的重点内容是失效保护器独特的结构优势和</w:t>
      </w:r>
      <w:bookmarkStart w:id="2" w:name="OLE_LINK14"/>
      <w:r>
        <w:rPr>
          <w:rFonts w:hint="eastAsia" w:hAnsi="宋体"/>
          <w:sz w:val="28"/>
          <w:szCs w:val="28"/>
        </w:rPr>
        <w:t>高控制精度</w:t>
      </w:r>
      <w:bookmarkEnd w:id="2"/>
      <w:r>
        <w:rPr>
          <w:rFonts w:hint="eastAsia" w:hAnsi="宋体"/>
          <w:sz w:val="28"/>
          <w:szCs w:val="28"/>
        </w:rPr>
        <w:t>，给出了基本误差、回差、快速响应性能等要点，给出了耐高温、耐低温、外观质量、出厂型式和试验要求等规定，对失效保护器的设计、开发具有指导意义，并作为参考依据；</w:t>
      </w:r>
    </w:p>
    <w:p w14:paraId="5D07535F">
      <w:pPr>
        <w:ind w:firstLine="560"/>
        <w:rPr>
          <w:rFonts w:hAnsi="宋体"/>
          <w:sz w:val="28"/>
          <w:szCs w:val="28"/>
        </w:rPr>
      </w:pPr>
      <w:r>
        <w:rPr>
          <w:rFonts w:hint="eastAsia" w:hAnsi="宋体"/>
          <w:sz w:val="28"/>
          <w:szCs w:val="28"/>
        </w:rPr>
        <w:t>⑶本标准的出台，也可作为各类失效保护器质量检测及接收的依据。</w:t>
      </w:r>
    </w:p>
    <w:p w14:paraId="7D165387">
      <w:pPr>
        <w:ind w:firstLine="560"/>
        <w:rPr>
          <w:rFonts w:hAnsi="宋体"/>
          <w:sz w:val="28"/>
          <w:szCs w:val="28"/>
        </w:rPr>
      </w:pPr>
      <w:r>
        <w:rPr>
          <w:rFonts w:hint="eastAsia" w:hAnsi="宋体"/>
          <w:sz w:val="28"/>
          <w:szCs w:val="28"/>
        </w:rPr>
        <w:t>2、主要内容</w:t>
      </w:r>
    </w:p>
    <w:p w14:paraId="5C8F5116">
      <w:pPr>
        <w:ind w:firstLine="560"/>
        <w:rPr>
          <w:rFonts w:hAnsi="宋体"/>
          <w:sz w:val="28"/>
          <w:szCs w:val="28"/>
        </w:rPr>
      </w:pPr>
      <w:r>
        <w:rPr>
          <w:rFonts w:hint="eastAsia" w:hAnsi="宋体"/>
          <w:sz w:val="28"/>
          <w:szCs w:val="28"/>
        </w:rPr>
        <w:t>本文件主要规定了工业控制阀用失效保护器的结构型式和基本参数、要求、试验方法、检验规则、标志、包装和贮存。技术内容包括绝缘电阻、绝缘强度、基本误差、回差、过范围、响应时间、气源接口及其它连接处的密封性、泄漏量、防护等级、防撞等级、耐高温、耐低温、耐压强度、电磁兼容性、热老化、交变湿热环境影响、长期运行、振动老化、抗震、防爆性能、外观等。</w:t>
      </w:r>
    </w:p>
    <w:p w14:paraId="01269A54">
      <w:pPr>
        <w:ind w:firstLine="560"/>
        <w:rPr>
          <w:rFonts w:hAnsi="宋体"/>
          <w:sz w:val="28"/>
          <w:szCs w:val="28"/>
        </w:rPr>
      </w:pPr>
      <w:r>
        <w:rPr>
          <w:rFonts w:hint="eastAsia" w:hAnsi="宋体"/>
          <w:sz w:val="28"/>
          <w:szCs w:val="28"/>
        </w:rPr>
        <w:t>四、试验与验证</w:t>
      </w:r>
    </w:p>
    <w:p w14:paraId="40FB3A1E">
      <w:pPr>
        <w:ind w:firstLine="560"/>
        <w:rPr>
          <w:rFonts w:hAnsi="宋体"/>
          <w:sz w:val="28"/>
          <w:szCs w:val="28"/>
        </w:rPr>
      </w:pPr>
      <w:r>
        <w:rPr>
          <w:rFonts w:hAnsi="宋体"/>
          <w:sz w:val="28"/>
          <w:szCs w:val="28"/>
        </w:rPr>
        <w:t>1</w:t>
      </w:r>
      <w:r>
        <w:rPr>
          <w:rFonts w:hint="eastAsia" w:hAnsi="宋体"/>
          <w:sz w:val="28"/>
          <w:szCs w:val="28"/>
        </w:rPr>
        <w:t>、客户验证</w:t>
      </w:r>
    </w:p>
    <w:p w14:paraId="00F1742F">
      <w:pPr>
        <w:ind w:firstLine="560"/>
        <w:rPr>
          <w:rFonts w:hAnsi="宋体"/>
          <w:sz w:val="28"/>
          <w:szCs w:val="28"/>
        </w:rPr>
      </w:pPr>
      <w:r>
        <w:rPr>
          <w:rFonts w:hint="eastAsia" w:hAnsi="宋体"/>
          <w:sz w:val="28"/>
          <w:szCs w:val="28"/>
        </w:rPr>
        <w:t>标准起草后，通过研究院所、石化单位的应用验证，其条款技术内容合理；</w:t>
      </w:r>
    </w:p>
    <w:p w14:paraId="4A02E180">
      <w:pPr>
        <w:ind w:firstLine="560"/>
        <w:rPr>
          <w:rFonts w:hAnsi="宋体"/>
          <w:sz w:val="28"/>
          <w:szCs w:val="28"/>
        </w:rPr>
      </w:pPr>
      <w:r>
        <w:rPr>
          <w:rFonts w:hAnsi="宋体"/>
          <w:sz w:val="28"/>
          <w:szCs w:val="28"/>
        </w:rPr>
        <w:t>2</w:t>
      </w:r>
      <w:r>
        <w:rPr>
          <w:rFonts w:hint="eastAsia" w:hAnsi="宋体"/>
          <w:sz w:val="28"/>
          <w:szCs w:val="28"/>
        </w:rPr>
        <w:t>、实际实施验证</w:t>
      </w:r>
    </w:p>
    <w:p w14:paraId="6B91CEB4">
      <w:pPr>
        <w:ind w:firstLine="560"/>
        <w:rPr>
          <w:rFonts w:hAnsi="宋体"/>
          <w:sz w:val="28"/>
          <w:szCs w:val="28"/>
        </w:rPr>
      </w:pPr>
      <w:r>
        <w:rPr>
          <w:rFonts w:hint="eastAsia" w:hAnsi="宋体"/>
          <w:sz w:val="28"/>
          <w:szCs w:val="28"/>
        </w:rPr>
        <w:t>本标准的内容，大部分来自日常控制阀研发的规范，在日常的控制阀生产研发实践中，大部分经过了长期的生产实际验证；</w:t>
      </w:r>
    </w:p>
    <w:p w14:paraId="53B3C793">
      <w:pPr>
        <w:ind w:firstLine="560"/>
        <w:rPr>
          <w:rFonts w:hAnsi="宋体"/>
          <w:sz w:val="28"/>
          <w:szCs w:val="28"/>
        </w:rPr>
      </w:pPr>
      <w:r>
        <w:rPr>
          <w:rFonts w:hint="eastAsia" w:hAnsi="宋体"/>
          <w:sz w:val="28"/>
          <w:szCs w:val="28"/>
        </w:rPr>
        <w:t>3、条款的可实施性、便宜性、合理性及客户的接受情况，普遍反映良好，客户满意度高。</w:t>
      </w:r>
    </w:p>
    <w:p w14:paraId="32FC39BB">
      <w:pPr>
        <w:ind w:firstLine="560"/>
        <w:rPr>
          <w:rFonts w:hAnsi="宋体"/>
          <w:sz w:val="28"/>
          <w:szCs w:val="28"/>
        </w:rPr>
      </w:pPr>
      <w:r>
        <w:rPr>
          <w:rFonts w:hint="eastAsia" w:hAnsi="宋体"/>
          <w:sz w:val="28"/>
          <w:szCs w:val="28"/>
        </w:rPr>
        <w:t>五、知识产权说明</w:t>
      </w:r>
    </w:p>
    <w:p w14:paraId="113F80EB">
      <w:pPr>
        <w:ind w:firstLine="560"/>
        <w:rPr>
          <w:rFonts w:hAnsi="宋体"/>
          <w:sz w:val="28"/>
          <w:szCs w:val="28"/>
        </w:rPr>
      </w:pPr>
      <w:r>
        <w:rPr>
          <w:rFonts w:hint="eastAsia" w:hAnsi="宋体"/>
          <w:sz w:val="28"/>
          <w:szCs w:val="28"/>
        </w:rPr>
        <w:t>本标准编制过程未涉及到知识产权。</w:t>
      </w:r>
    </w:p>
    <w:p w14:paraId="4C4183DF">
      <w:pPr>
        <w:ind w:firstLine="560"/>
        <w:rPr>
          <w:rFonts w:hAnsi="宋体"/>
          <w:sz w:val="28"/>
          <w:szCs w:val="28"/>
        </w:rPr>
      </w:pPr>
      <w:bookmarkStart w:id="3" w:name="OLE_LINK10"/>
      <w:r>
        <w:rPr>
          <w:rFonts w:hint="eastAsia" w:hAnsi="宋体"/>
          <w:sz w:val="28"/>
          <w:szCs w:val="28"/>
        </w:rPr>
        <w:t>六、预期达到的社会效益</w:t>
      </w:r>
    </w:p>
    <w:p w14:paraId="086CED50">
      <w:pPr>
        <w:ind w:firstLine="560"/>
        <w:rPr>
          <w:rFonts w:hAnsi="宋体"/>
          <w:sz w:val="28"/>
          <w:szCs w:val="28"/>
        </w:rPr>
      </w:pPr>
      <w:r>
        <w:rPr>
          <w:rFonts w:hint="eastAsia" w:hAnsi="宋体"/>
          <w:sz w:val="28"/>
          <w:szCs w:val="28"/>
        </w:rPr>
        <w:t>1、本标准规定了失效保护器的基本误差、回差、响应时间、环境温度、电磁兼容性、热老化性能及抗地震试验等方面的标准化，</w:t>
      </w:r>
      <w:bookmarkStart w:id="4" w:name="OLE_LINK11"/>
      <w:r>
        <w:rPr>
          <w:rFonts w:hint="eastAsia" w:hAnsi="宋体"/>
          <w:sz w:val="28"/>
          <w:szCs w:val="28"/>
        </w:rPr>
        <w:t>确保失效保护器在高控制精度、低功耗驱动、快速响应、宽温域运行、长寿命等关键技术性能指标达到稳定状态，</w:t>
      </w:r>
      <w:bookmarkEnd w:id="4"/>
      <w:r>
        <w:rPr>
          <w:rFonts w:hint="eastAsia" w:hAnsi="宋体"/>
          <w:sz w:val="28"/>
          <w:szCs w:val="28"/>
        </w:rPr>
        <w:t>满足核电工业严苛环境的使用要求，并可进一步推广至油气储运、石化等领域。</w:t>
      </w:r>
    </w:p>
    <w:p w14:paraId="55D8CDBC">
      <w:pPr>
        <w:ind w:firstLine="560"/>
        <w:rPr>
          <w:rFonts w:hAnsi="宋体"/>
          <w:sz w:val="28"/>
          <w:szCs w:val="28"/>
        </w:rPr>
      </w:pPr>
      <w:r>
        <w:rPr>
          <w:rFonts w:hint="eastAsia" w:hAnsi="宋体"/>
          <w:sz w:val="28"/>
          <w:szCs w:val="28"/>
        </w:rPr>
        <w:t>2、有了本标准，国内会有很多的控制阀生产企业可以从事失效保护器的研发与生产，产品国产化替代与供应会更为方便，成本会有大幅的降低。</w:t>
      </w:r>
    </w:p>
    <w:bookmarkEnd w:id="3"/>
    <w:p w14:paraId="79597D8F">
      <w:pPr>
        <w:ind w:firstLine="560"/>
        <w:rPr>
          <w:rFonts w:hAnsi="宋体"/>
          <w:sz w:val="28"/>
          <w:szCs w:val="28"/>
        </w:rPr>
      </w:pPr>
      <w:r>
        <w:rPr>
          <w:rFonts w:hint="eastAsia" w:hAnsi="宋体"/>
          <w:sz w:val="28"/>
          <w:szCs w:val="28"/>
        </w:rPr>
        <w:t>3、本标准的出台，有利于工业控制阀用失效保护器的推广应用和技术参数统一，也可作为各类工业控制阀用失效保护器质量检测及接收的依据。</w:t>
      </w:r>
    </w:p>
    <w:p w14:paraId="7932D619">
      <w:pPr>
        <w:ind w:firstLine="560"/>
        <w:rPr>
          <w:rFonts w:hAnsi="宋体"/>
          <w:sz w:val="28"/>
          <w:szCs w:val="28"/>
        </w:rPr>
      </w:pPr>
      <w:r>
        <w:rPr>
          <w:rFonts w:hint="eastAsia" w:hAnsi="宋体"/>
          <w:sz w:val="28"/>
          <w:szCs w:val="28"/>
        </w:rPr>
        <w:t>七、采标情况</w:t>
      </w:r>
    </w:p>
    <w:p w14:paraId="2E4C86BA">
      <w:pPr>
        <w:ind w:firstLine="560"/>
        <w:rPr>
          <w:rFonts w:hAnsi="宋体"/>
          <w:sz w:val="28"/>
          <w:szCs w:val="28"/>
        </w:rPr>
      </w:pPr>
      <w:r>
        <w:rPr>
          <w:rFonts w:hint="eastAsia" w:hAnsi="宋体"/>
          <w:sz w:val="28"/>
          <w:szCs w:val="28"/>
        </w:rPr>
        <w:t>1、标准化标准</w:t>
      </w:r>
    </w:p>
    <w:p w14:paraId="48D95AF9">
      <w:pPr>
        <w:ind w:firstLine="560"/>
        <w:rPr>
          <w:rFonts w:hAnsi="宋体"/>
          <w:sz w:val="28"/>
          <w:szCs w:val="28"/>
        </w:rPr>
      </w:pPr>
      <w:r>
        <w:rPr>
          <w:rFonts w:hint="eastAsia" w:hAnsi="宋体"/>
          <w:sz w:val="28"/>
          <w:szCs w:val="28"/>
        </w:rPr>
        <w:t>GB</w:t>
      </w:r>
      <w:r>
        <w:rPr>
          <w:rFonts w:hAnsi="宋体"/>
          <w:sz w:val="28"/>
          <w:szCs w:val="28"/>
        </w:rPr>
        <w:t>/T 1.1-2020</w:t>
      </w:r>
      <w:r>
        <w:rPr>
          <w:rFonts w:hint="eastAsia" w:hAnsi="宋体"/>
          <w:sz w:val="28"/>
          <w:szCs w:val="28"/>
        </w:rPr>
        <w:t>《标准化工作导则 第1部分：标准化文件的结构和起草规则》；</w:t>
      </w:r>
    </w:p>
    <w:p w14:paraId="5583CE49">
      <w:pPr>
        <w:ind w:firstLine="560"/>
        <w:rPr>
          <w:rFonts w:hAnsi="宋体"/>
          <w:sz w:val="28"/>
          <w:szCs w:val="28"/>
        </w:rPr>
      </w:pPr>
      <w:r>
        <w:rPr>
          <w:rFonts w:hAnsi="宋体"/>
          <w:sz w:val="28"/>
          <w:szCs w:val="28"/>
        </w:rPr>
        <w:t>GB</w:t>
      </w:r>
      <w:r>
        <w:rPr>
          <w:rFonts w:hint="eastAsia" w:hAnsi="宋体"/>
          <w:sz w:val="28"/>
          <w:szCs w:val="28"/>
        </w:rPr>
        <w:t>/</w:t>
      </w:r>
      <w:r>
        <w:rPr>
          <w:rFonts w:hAnsi="宋体"/>
          <w:sz w:val="28"/>
          <w:szCs w:val="28"/>
        </w:rPr>
        <w:t>T 20001.5-2017标准编写规则 第5部分：规范标准</w:t>
      </w:r>
      <w:r>
        <w:rPr>
          <w:rFonts w:hint="eastAsia" w:hAnsi="宋体"/>
          <w:sz w:val="28"/>
          <w:szCs w:val="28"/>
        </w:rPr>
        <w:t>》</w:t>
      </w:r>
    </w:p>
    <w:p w14:paraId="3C8D9977">
      <w:pPr>
        <w:ind w:firstLine="560"/>
        <w:rPr>
          <w:rFonts w:hAnsi="宋体"/>
          <w:sz w:val="28"/>
          <w:szCs w:val="28"/>
        </w:rPr>
      </w:pPr>
      <w:r>
        <w:rPr>
          <w:rFonts w:hint="eastAsia" w:hAnsi="宋体"/>
          <w:sz w:val="28"/>
          <w:szCs w:val="28"/>
        </w:rPr>
        <w:t>2、工业控制阀用失效保护器引用标准</w:t>
      </w:r>
    </w:p>
    <w:p w14:paraId="1F4546FE">
      <w:pPr>
        <w:ind w:firstLine="560"/>
        <w:rPr>
          <w:rFonts w:hAnsi="宋体"/>
          <w:sz w:val="28"/>
          <w:szCs w:val="28"/>
        </w:rPr>
      </w:pPr>
      <w:r>
        <w:rPr>
          <w:rFonts w:hint="eastAsia" w:hAnsi="宋体"/>
          <w:sz w:val="28"/>
          <w:szCs w:val="28"/>
        </w:rPr>
        <w:t xml:space="preserve">GB 17799.4 </w:t>
      </w:r>
      <w:r>
        <w:rPr>
          <w:rFonts w:hAnsi="宋体"/>
          <w:sz w:val="28"/>
          <w:szCs w:val="28"/>
        </w:rPr>
        <w:t xml:space="preserve"> 电磁兼容 通用标准 第4部分：工业环境中的发射</w:t>
      </w:r>
    </w:p>
    <w:p w14:paraId="3FC1532B">
      <w:pPr>
        <w:ind w:firstLine="560"/>
        <w:rPr>
          <w:rFonts w:hAnsi="宋体"/>
          <w:sz w:val="28"/>
          <w:szCs w:val="28"/>
        </w:rPr>
      </w:pPr>
      <w:r>
        <w:rPr>
          <w:rFonts w:hint="eastAsia" w:hAnsi="宋体"/>
          <w:sz w:val="28"/>
          <w:szCs w:val="28"/>
        </w:rPr>
        <w:t xml:space="preserve">GB/T 2423.1 </w:t>
      </w:r>
      <w:r>
        <w:rPr>
          <w:rFonts w:hAnsi="宋体"/>
          <w:sz w:val="28"/>
          <w:szCs w:val="28"/>
        </w:rPr>
        <w:t xml:space="preserve"> </w:t>
      </w:r>
      <w:r>
        <w:rPr>
          <w:rFonts w:hint="eastAsia" w:hAnsi="宋体"/>
          <w:sz w:val="28"/>
          <w:szCs w:val="28"/>
        </w:rPr>
        <w:t>电工电子产品环境试验</w:t>
      </w:r>
      <w:r>
        <w:rPr>
          <w:rFonts w:hAnsi="宋体"/>
          <w:sz w:val="28"/>
          <w:szCs w:val="28"/>
        </w:rPr>
        <w:t xml:space="preserve">  </w:t>
      </w:r>
      <w:r>
        <w:rPr>
          <w:rFonts w:hint="eastAsia" w:hAnsi="宋体"/>
          <w:sz w:val="28"/>
          <w:szCs w:val="28"/>
        </w:rPr>
        <w:t>第2部分：试验方法 试验A：低温</w:t>
      </w:r>
    </w:p>
    <w:p w14:paraId="76A06ABD">
      <w:pPr>
        <w:ind w:firstLine="560"/>
        <w:rPr>
          <w:rFonts w:hAnsi="宋体"/>
          <w:sz w:val="28"/>
          <w:szCs w:val="28"/>
        </w:rPr>
      </w:pPr>
      <w:r>
        <w:rPr>
          <w:rFonts w:hint="eastAsia" w:hAnsi="宋体"/>
          <w:sz w:val="28"/>
          <w:szCs w:val="28"/>
        </w:rPr>
        <w:t>GB/T 2423.2</w:t>
      </w:r>
      <w:r>
        <w:rPr>
          <w:rFonts w:hAnsi="宋体"/>
          <w:sz w:val="28"/>
          <w:szCs w:val="28"/>
        </w:rPr>
        <w:t xml:space="preserve"> </w:t>
      </w:r>
      <w:r>
        <w:rPr>
          <w:rFonts w:hint="eastAsia" w:hAnsi="宋体"/>
          <w:sz w:val="28"/>
          <w:szCs w:val="28"/>
        </w:rPr>
        <w:t xml:space="preserve"> 电工电子产品环境试验 </w:t>
      </w:r>
      <w:r>
        <w:rPr>
          <w:rFonts w:hAnsi="宋体"/>
          <w:sz w:val="28"/>
          <w:szCs w:val="28"/>
        </w:rPr>
        <w:t xml:space="preserve"> </w:t>
      </w:r>
      <w:r>
        <w:rPr>
          <w:rFonts w:hint="eastAsia" w:hAnsi="宋体"/>
          <w:sz w:val="28"/>
          <w:szCs w:val="28"/>
        </w:rPr>
        <w:t>第2部分：试验方法 试验B：高温</w:t>
      </w:r>
    </w:p>
    <w:p w14:paraId="032BD7DD">
      <w:pPr>
        <w:ind w:firstLine="560"/>
        <w:rPr>
          <w:rFonts w:hAnsi="宋体"/>
          <w:sz w:val="28"/>
          <w:szCs w:val="28"/>
        </w:rPr>
      </w:pPr>
      <w:r>
        <w:rPr>
          <w:rFonts w:hint="eastAsia" w:hAnsi="宋体"/>
          <w:sz w:val="28"/>
          <w:szCs w:val="28"/>
        </w:rPr>
        <w:t xml:space="preserve">GB/T 2423.4 </w:t>
      </w:r>
      <w:r>
        <w:rPr>
          <w:rFonts w:hAnsi="宋体"/>
          <w:sz w:val="28"/>
          <w:szCs w:val="28"/>
        </w:rPr>
        <w:t xml:space="preserve"> </w:t>
      </w:r>
      <w:r>
        <w:rPr>
          <w:rFonts w:hint="eastAsia" w:hAnsi="宋体"/>
          <w:sz w:val="28"/>
          <w:szCs w:val="28"/>
        </w:rPr>
        <w:t xml:space="preserve">电工电子产品环境试验 </w:t>
      </w:r>
      <w:r>
        <w:rPr>
          <w:rFonts w:hAnsi="宋体"/>
          <w:sz w:val="28"/>
          <w:szCs w:val="28"/>
        </w:rPr>
        <w:t xml:space="preserve"> </w:t>
      </w:r>
      <w:r>
        <w:rPr>
          <w:rFonts w:hint="eastAsia" w:hAnsi="宋体"/>
          <w:sz w:val="28"/>
          <w:szCs w:val="28"/>
        </w:rPr>
        <w:t>第2部分：试验方法 试验Db：交变湿热（12</w:t>
      </w:r>
      <w:r>
        <w:rPr>
          <w:rFonts w:hAnsi="宋体"/>
          <w:sz w:val="28"/>
          <w:szCs w:val="28"/>
          <w:vertAlign w:val="subscript"/>
        </w:rPr>
        <w:t xml:space="preserve"> </w:t>
      </w:r>
      <w:r>
        <w:rPr>
          <w:rFonts w:hint="eastAsia" w:hAnsi="宋体"/>
          <w:sz w:val="28"/>
          <w:szCs w:val="28"/>
        </w:rPr>
        <w:t>h＋12</w:t>
      </w:r>
      <w:r>
        <w:rPr>
          <w:rFonts w:hAnsi="宋体"/>
          <w:sz w:val="28"/>
          <w:szCs w:val="28"/>
          <w:vertAlign w:val="subscript"/>
        </w:rPr>
        <w:t xml:space="preserve"> </w:t>
      </w:r>
      <w:r>
        <w:rPr>
          <w:rFonts w:hint="eastAsia" w:hAnsi="宋体"/>
          <w:sz w:val="28"/>
          <w:szCs w:val="28"/>
        </w:rPr>
        <w:t>h循环）</w:t>
      </w:r>
    </w:p>
    <w:p w14:paraId="4404EEDC">
      <w:pPr>
        <w:ind w:firstLine="560"/>
        <w:rPr>
          <w:rFonts w:hAnsi="宋体"/>
          <w:sz w:val="28"/>
          <w:szCs w:val="28"/>
        </w:rPr>
      </w:pPr>
      <w:r>
        <w:rPr>
          <w:rFonts w:hint="eastAsia" w:hAnsi="宋体"/>
          <w:sz w:val="28"/>
          <w:szCs w:val="28"/>
        </w:rPr>
        <w:t xml:space="preserve">GB/T 2423.10 </w:t>
      </w:r>
      <w:r>
        <w:rPr>
          <w:rFonts w:hAnsi="宋体"/>
          <w:sz w:val="28"/>
          <w:szCs w:val="28"/>
        </w:rPr>
        <w:t xml:space="preserve"> </w:t>
      </w:r>
      <w:r>
        <w:rPr>
          <w:rFonts w:hint="eastAsia" w:hAnsi="宋体"/>
          <w:sz w:val="28"/>
          <w:szCs w:val="28"/>
        </w:rPr>
        <w:t xml:space="preserve">环境试验 </w:t>
      </w:r>
      <w:r>
        <w:rPr>
          <w:rFonts w:hAnsi="宋体"/>
          <w:sz w:val="28"/>
          <w:szCs w:val="28"/>
        </w:rPr>
        <w:t xml:space="preserve"> </w:t>
      </w:r>
      <w:r>
        <w:rPr>
          <w:rFonts w:hint="eastAsia" w:hAnsi="宋体"/>
          <w:sz w:val="28"/>
          <w:szCs w:val="28"/>
        </w:rPr>
        <w:t>第2部分：试验方法 试验Fc：振动（正弦）</w:t>
      </w:r>
    </w:p>
    <w:p w14:paraId="0C4C42E5">
      <w:pPr>
        <w:ind w:firstLine="560"/>
        <w:rPr>
          <w:rFonts w:hAnsi="宋体"/>
          <w:sz w:val="28"/>
          <w:szCs w:val="28"/>
        </w:rPr>
      </w:pPr>
      <w:r>
        <w:rPr>
          <w:rFonts w:hint="eastAsia" w:hAnsi="宋体"/>
          <w:sz w:val="28"/>
          <w:szCs w:val="28"/>
        </w:rPr>
        <w:t xml:space="preserve">GB/T 3836.1 </w:t>
      </w:r>
      <w:r>
        <w:rPr>
          <w:rFonts w:hAnsi="宋体"/>
          <w:sz w:val="28"/>
          <w:szCs w:val="28"/>
        </w:rPr>
        <w:t xml:space="preserve"> </w:t>
      </w:r>
      <w:r>
        <w:rPr>
          <w:rFonts w:hint="eastAsia" w:hAnsi="宋体"/>
          <w:sz w:val="28"/>
          <w:szCs w:val="28"/>
        </w:rPr>
        <w:t xml:space="preserve">爆炸性环境 </w:t>
      </w:r>
      <w:r>
        <w:rPr>
          <w:rFonts w:hAnsi="宋体"/>
          <w:sz w:val="28"/>
          <w:szCs w:val="28"/>
        </w:rPr>
        <w:t xml:space="preserve"> </w:t>
      </w:r>
      <w:r>
        <w:rPr>
          <w:rFonts w:hint="eastAsia" w:hAnsi="宋体"/>
          <w:sz w:val="28"/>
          <w:szCs w:val="28"/>
        </w:rPr>
        <w:t>第1部分：设备 通用要求</w:t>
      </w:r>
    </w:p>
    <w:p w14:paraId="64AF14EB">
      <w:pPr>
        <w:ind w:firstLine="560"/>
        <w:rPr>
          <w:rFonts w:hAnsi="宋体"/>
          <w:sz w:val="28"/>
          <w:szCs w:val="28"/>
        </w:rPr>
      </w:pPr>
      <w:r>
        <w:rPr>
          <w:rFonts w:hint="eastAsia" w:hAnsi="宋体"/>
          <w:sz w:val="28"/>
          <w:szCs w:val="28"/>
        </w:rPr>
        <w:t xml:space="preserve">GB/T 3836.2 </w:t>
      </w:r>
      <w:r>
        <w:rPr>
          <w:rFonts w:hAnsi="宋体"/>
          <w:sz w:val="28"/>
          <w:szCs w:val="28"/>
        </w:rPr>
        <w:t xml:space="preserve"> </w:t>
      </w:r>
      <w:r>
        <w:rPr>
          <w:rFonts w:hint="eastAsia" w:hAnsi="宋体"/>
          <w:sz w:val="28"/>
          <w:szCs w:val="28"/>
        </w:rPr>
        <w:t xml:space="preserve">爆炸性环境 </w:t>
      </w:r>
      <w:r>
        <w:rPr>
          <w:rFonts w:hAnsi="宋体"/>
          <w:sz w:val="28"/>
          <w:szCs w:val="28"/>
        </w:rPr>
        <w:t xml:space="preserve"> </w:t>
      </w:r>
      <w:r>
        <w:rPr>
          <w:rFonts w:hint="eastAsia" w:hAnsi="宋体"/>
          <w:sz w:val="28"/>
          <w:szCs w:val="28"/>
        </w:rPr>
        <w:t>第2部分：由隔爆外壳“d”保护的设备</w:t>
      </w:r>
    </w:p>
    <w:p w14:paraId="2BC27162">
      <w:pPr>
        <w:ind w:firstLine="560"/>
        <w:rPr>
          <w:rFonts w:hAnsi="宋体"/>
          <w:sz w:val="28"/>
          <w:szCs w:val="28"/>
        </w:rPr>
      </w:pPr>
      <w:r>
        <w:rPr>
          <w:rFonts w:hint="eastAsia" w:hAnsi="宋体"/>
          <w:sz w:val="28"/>
          <w:szCs w:val="28"/>
        </w:rPr>
        <w:t xml:space="preserve">GB/T 4208 </w:t>
      </w:r>
      <w:r>
        <w:rPr>
          <w:rFonts w:hAnsi="宋体"/>
          <w:sz w:val="28"/>
          <w:szCs w:val="28"/>
        </w:rPr>
        <w:t xml:space="preserve"> </w:t>
      </w:r>
      <w:r>
        <w:rPr>
          <w:rFonts w:hint="eastAsia" w:hAnsi="宋体"/>
          <w:sz w:val="28"/>
          <w:szCs w:val="28"/>
        </w:rPr>
        <w:t>外壳防护等级（IP代码）</w:t>
      </w:r>
    </w:p>
    <w:p w14:paraId="5D8499A9">
      <w:pPr>
        <w:ind w:firstLine="560"/>
        <w:rPr>
          <w:rFonts w:hAnsi="宋体"/>
          <w:sz w:val="28"/>
          <w:szCs w:val="28"/>
        </w:rPr>
      </w:pPr>
      <w:r>
        <w:rPr>
          <w:rFonts w:hint="eastAsia" w:hAnsi="宋体"/>
          <w:sz w:val="28"/>
          <w:szCs w:val="28"/>
        </w:rPr>
        <w:t>G</w:t>
      </w:r>
      <w:r>
        <w:rPr>
          <w:rFonts w:hAnsi="宋体"/>
          <w:sz w:val="28"/>
          <w:szCs w:val="28"/>
        </w:rPr>
        <w:t xml:space="preserve">B/T </w:t>
      </w:r>
      <w:r>
        <w:rPr>
          <w:rFonts w:hint="eastAsia" w:hAnsi="宋体"/>
          <w:sz w:val="28"/>
          <w:szCs w:val="28"/>
        </w:rPr>
        <w:t>13384</w:t>
      </w:r>
      <w:r>
        <w:rPr>
          <w:rFonts w:hAnsi="宋体"/>
          <w:sz w:val="28"/>
          <w:szCs w:val="28"/>
        </w:rPr>
        <w:t xml:space="preserve">  </w:t>
      </w:r>
      <w:r>
        <w:rPr>
          <w:rFonts w:hint="eastAsia" w:hAnsi="宋体"/>
          <w:sz w:val="28"/>
          <w:szCs w:val="28"/>
        </w:rPr>
        <w:t>机电产品包装通用技术条件</w:t>
      </w:r>
    </w:p>
    <w:p w14:paraId="4307D929">
      <w:pPr>
        <w:ind w:firstLine="560"/>
        <w:rPr>
          <w:rFonts w:hAnsi="宋体"/>
          <w:sz w:val="28"/>
          <w:szCs w:val="28"/>
        </w:rPr>
      </w:pPr>
      <w:r>
        <w:rPr>
          <w:rFonts w:hint="eastAsia" w:hAnsi="宋体"/>
          <w:sz w:val="28"/>
          <w:szCs w:val="28"/>
        </w:rPr>
        <w:t xml:space="preserve">GB/T 17626.2 </w:t>
      </w:r>
      <w:r>
        <w:rPr>
          <w:rFonts w:hAnsi="宋体"/>
          <w:sz w:val="28"/>
          <w:szCs w:val="28"/>
        </w:rPr>
        <w:t xml:space="preserve"> </w:t>
      </w:r>
      <w:r>
        <w:rPr>
          <w:rFonts w:hint="eastAsia" w:hAnsi="宋体"/>
          <w:sz w:val="28"/>
          <w:szCs w:val="28"/>
        </w:rPr>
        <w:t>电磁兼容 试验和测量技术 静电放电抗扰度试验</w:t>
      </w:r>
    </w:p>
    <w:p w14:paraId="1F22E1E6">
      <w:pPr>
        <w:ind w:firstLine="560"/>
        <w:rPr>
          <w:rFonts w:hAnsi="宋体"/>
          <w:sz w:val="28"/>
          <w:szCs w:val="28"/>
        </w:rPr>
      </w:pPr>
      <w:r>
        <w:rPr>
          <w:rFonts w:hint="eastAsia" w:hAnsi="宋体"/>
          <w:sz w:val="28"/>
          <w:szCs w:val="28"/>
        </w:rPr>
        <w:t xml:space="preserve">GB/T 17626.3 </w:t>
      </w:r>
      <w:r>
        <w:rPr>
          <w:rFonts w:hAnsi="宋体"/>
          <w:sz w:val="28"/>
          <w:szCs w:val="28"/>
        </w:rPr>
        <w:t xml:space="preserve"> </w:t>
      </w:r>
      <w:r>
        <w:rPr>
          <w:rFonts w:hint="eastAsia" w:hAnsi="宋体"/>
          <w:sz w:val="28"/>
          <w:szCs w:val="28"/>
        </w:rPr>
        <w:t>电磁兼容 试验和测量技术 射频电磁场辐射抗扰度试验</w:t>
      </w:r>
    </w:p>
    <w:p w14:paraId="1840EC87">
      <w:pPr>
        <w:ind w:firstLine="560"/>
        <w:rPr>
          <w:rFonts w:hAnsi="宋体"/>
          <w:sz w:val="28"/>
          <w:szCs w:val="28"/>
        </w:rPr>
      </w:pPr>
      <w:r>
        <w:rPr>
          <w:rFonts w:hint="eastAsia" w:hAnsi="宋体"/>
          <w:sz w:val="28"/>
          <w:szCs w:val="28"/>
        </w:rPr>
        <w:t xml:space="preserve">GB/T 17626.4 </w:t>
      </w:r>
      <w:r>
        <w:rPr>
          <w:rFonts w:hAnsi="宋体"/>
          <w:sz w:val="28"/>
          <w:szCs w:val="28"/>
        </w:rPr>
        <w:t xml:space="preserve"> </w:t>
      </w:r>
      <w:r>
        <w:rPr>
          <w:rFonts w:hint="eastAsia" w:hAnsi="宋体"/>
          <w:sz w:val="28"/>
          <w:szCs w:val="28"/>
        </w:rPr>
        <w:t>电磁兼容 试验和测量技术 电快速瞬变脉冲群抗扰度试验</w:t>
      </w:r>
    </w:p>
    <w:p w14:paraId="0DBEC4D2">
      <w:pPr>
        <w:ind w:firstLine="560"/>
        <w:rPr>
          <w:rFonts w:hAnsi="宋体"/>
          <w:sz w:val="28"/>
          <w:szCs w:val="28"/>
        </w:rPr>
      </w:pPr>
      <w:r>
        <w:rPr>
          <w:rFonts w:hint="eastAsia" w:hAnsi="宋体"/>
          <w:sz w:val="28"/>
          <w:szCs w:val="28"/>
        </w:rPr>
        <w:t xml:space="preserve">GB/T 17626.5 </w:t>
      </w:r>
      <w:r>
        <w:rPr>
          <w:rFonts w:hAnsi="宋体"/>
          <w:sz w:val="28"/>
          <w:szCs w:val="28"/>
        </w:rPr>
        <w:t xml:space="preserve"> </w:t>
      </w:r>
      <w:r>
        <w:rPr>
          <w:rFonts w:hint="eastAsia" w:hAnsi="宋体"/>
          <w:sz w:val="28"/>
          <w:szCs w:val="28"/>
        </w:rPr>
        <w:t>电磁兼容 试验和测量技术 浪涌（冲击）抗扰度试验</w:t>
      </w:r>
    </w:p>
    <w:p w14:paraId="6A917498">
      <w:pPr>
        <w:ind w:firstLine="560"/>
        <w:rPr>
          <w:rFonts w:hAnsi="宋体"/>
          <w:sz w:val="28"/>
          <w:szCs w:val="28"/>
        </w:rPr>
      </w:pPr>
      <w:r>
        <w:rPr>
          <w:rFonts w:hint="eastAsia" w:hAnsi="宋体"/>
          <w:sz w:val="28"/>
          <w:szCs w:val="28"/>
        </w:rPr>
        <w:t xml:space="preserve">GB/T 17626.6 </w:t>
      </w:r>
      <w:r>
        <w:rPr>
          <w:rFonts w:hAnsi="宋体"/>
          <w:sz w:val="28"/>
          <w:szCs w:val="28"/>
        </w:rPr>
        <w:t xml:space="preserve"> </w:t>
      </w:r>
      <w:r>
        <w:rPr>
          <w:rFonts w:hint="eastAsia" w:hAnsi="宋体"/>
          <w:sz w:val="28"/>
          <w:szCs w:val="28"/>
        </w:rPr>
        <w:t>电磁兼容 试验和测量技术 射频场感应的传导骚扰抗扰度</w:t>
      </w:r>
    </w:p>
    <w:p w14:paraId="6932CFEC">
      <w:pPr>
        <w:ind w:firstLine="560"/>
        <w:rPr>
          <w:rFonts w:hAnsi="宋体"/>
          <w:sz w:val="28"/>
          <w:szCs w:val="28"/>
        </w:rPr>
      </w:pPr>
      <w:r>
        <w:rPr>
          <w:rFonts w:hint="eastAsia" w:hAnsi="宋体"/>
          <w:sz w:val="28"/>
          <w:szCs w:val="28"/>
        </w:rPr>
        <w:t xml:space="preserve">GB/T 17626.8 </w:t>
      </w:r>
      <w:r>
        <w:rPr>
          <w:rFonts w:hAnsi="宋体"/>
          <w:sz w:val="28"/>
          <w:szCs w:val="28"/>
        </w:rPr>
        <w:t xml:space="preserve"> </w:t>
      </w:r>
      <w:r>
        <w:rPr>
          <w:rFonts w:hint="eastAsia" w:hAnsi="宋体"/>
          <w:sz w:val="28"/>
          <w:szCs w:val="28"/>
        </w:rPr>
        <w:t>电磁兼容 试验和测量技术 工频磁场抗扰度试验</w:t>
      </w:r>
    </w:p>
    <w:p w14:paraId="5D5F6F5E">
      <w:pPr>
        <w:ind w:firstLine="560"/>
        <w:rPr>
          <w:rFonts w:hAnsi="宋体"/>
          <w:sz w:val="28"/>
          <w:szCs w:val="28"/>
        </w:rPr>
      </w:pPr>
      <w:r>
        <w:rPr>
          <w:rFonts w:hint="eastAsia" w:hAnsi="宋体"/>
          <w:sz w:val="28"/>
          <w:szCs w:val="28"/>
        </w:rPr>
        <w:t xml:space="preserve">GB/T 17626.9 </w:t>
      </w:r>
      <w:r>
        <w:rPr>
          <w:rFonts w:hAnsi="宋体"/>
          <w:sz w:val="28"/>
          <w:szCs w:val="28"/>
        </w:rPr>
        <w:t xml:space="preserve"> </w:t>
      </w:r>
      <w:r>
        <w:rPr>
          <w:rFonts w:hint="eastAsia" w:hAnsi="宋体"/>
          <w:sz w:val="28"/>
          <w:szCs w:val="28"/>
        </w:rPr>
        <w:t>电磁兼容 试验和测量技术 脉冲磁场抗扰度试验</w:t>
      </w:r>
    </w:p>
    <w:p w14:paraId="314052CC">
      <w:pPr>
        <w:ind w:firstLine="560"/>
        <w:rPr>
          <w:rFonts w:hAnsi="宋体"/>
          <w:sz w:val="28"/>
          <w:szCs w:val="28"/>
        </w:rPr>
      </w:pPr>
      <w:r>
        <w:rPr>
          <w:rFonts w:hint="eastAsia" w:hAnsi="宋体"/>
          <w:sz w:val="28"/>
          <w:szCs w:val="28"/>
        </w:rPr>
        <w:t xml:space="preserve">GB/T 17626.10 </w:t>
      </w:r>
      <w:r>
        <w:rPr>
          <w:rFonts w:hAnsi="宋体"/>
          <w:sz w:val="28"/>
          <w:szCs w:val="28"/>
        </w:rPr>
        <w:t xml:space="preserve"> </w:t>
      </w:r>
      <w:r>
        <w:rPr>
          <w:rFonts w:hint="eastAsia" w:hAnsi="宋体"/>
          <w:sz w:val="28"/>
          <w:szCs w:val="28"/>
        </w:rPr>
        <w:t>电磁兼容 试验和测量技术 阻尼振荡磁场抗扰度试验</w:t>
      </w:r>
    </w:p>
    <w:p w14:paraId="0BB53A4C">
      <w:pPr>
        <w:ind w:firstLine="560"/>
        <w:rPr>
          <w:rFonts w:hAnsi="宋体"/>
          <w:sz w:val="28"/>
          <w:szCs w:val="28"/>
        </w:rPr>
      </w:pPr>
      <w:r>
        <w:rPr>
          <w:rFonts w:hint="eastAsia" w:hAnsi="宋体"/>
          <w:sz w:val="28"/>
          <w:szCs w:val="28"/>
        </w:rPr>
        <w:t xml:space="preserve">GB/T 17626.12 </w:t>
      </w:r>
      <w:r>
        <w:rPr>
          <w:rFonts w:hAnsi="宋体"/>
          <w:sz w:val="28"/>
          <w:szCs w:val="28"/>
        </w:rPr>
        <w:t xml:space="preserve"> </w:t>
      </w:r>
      <w:r>
        <w:rPr>
          <w:rFonts w:hint="eastAsia" w:hAnsi="宋体"/>
          <w:sz w:val="28"/>
          <w:szCs w:val="28"/>
        </w:rPr>
        <w:t>电磁兼容 试验和测量技术 振铃波抗扰度试验</w:t>
      </w:r>
    </w:p>
    <w:p w14:paraId="428A3573">
      <w:pPr>
        <w:ind w:firstLine="560"/>
        <w:rPr>
          <w:rFonts w:hAnsi="宋体"/>
          <w:sz w:val="28"/>
          <w:szCs w:val="28"/>
        </w:rPr>
      </w:pPr>
      <w:r>
        <w:rPr>
          <w:rFonts w:hint="eastAsia" w:hAnsi="宋体"/>
          <w:sz w:val="28"/>
          <w:szCs w:val="28"/>
        </w:rPr>
        <w:t xml:space="preserve">GB/T 17626.16 </w:t>
      </w:r>
      <w:r>
        <w:rPr>
          <w:rFonts w:hAnsi="宋体"/>
          <w:sz w:val="28"/>
          <w:szCs w:val="28"/>
        </w:rPr>
        <w:t xml:space="preserve"> </w:t>
      </w:r>
      <w:r>
        <w:rPr>
          <w:rFonts w:hint="eastAsia" w:hAnsi="宋体"/>
          <w:sz w:val="28"/>
          <w:szCs w:val="28"/>
        </w:rPr>
        <w:t>电磁兼容 试验和测量技术 0</w:t>
      </w:r>
      <w:r>
        <w:rPr>
          <w:rFonts w:hAnsi="宋体"/>
          <w:sz w:val="28"/>
          <w:szCs w:val="28"/>
          <w:vertAlign w:val="subscript"/>
        </w:rPr>
        <w:t xml:space="preserve"> </w:t>
      </w:r>
      <w:r>
        <w:rPr>
          <w:rFonts w:hint="eastAsia" w:hAnsi="宋体"/>
          <w:sz w:val="28"/>
          <w:szCs w:val="28"/>
        </w:rPr>
        <w:t>Hz～150</w:t>
      </w:r>
      <w:r>
        <w:rPr>
          <w:rFonts w:hAnsi="宋体"/>
          <w:sz w:val="28"/>
          <w:szCs w:val="28"/>
          <w:vertAlign w:val="subscript"/>
        </w:rPr>
        <w:t xml:space="preserve"> </w:t>
      </w:r>
      <w:r>
        <w:rPr>
          <w:rFonts w:hint="eastAsia" w:hAnsi="宋体"/>
          <w:sz w:val="28"/>
          <w:szCs w:val="28"/>
        </w:rPr>
        <w:t>kHz共模传导骚扰抗扰度试验</w:t>
      </w:r>
    </w:p>
    <w:p w14:paraId="4B314D53">
      <w:pPr>
        <w:ind w:firstLine="560"/>
        <w:rPr>
          <w:rFonts w:hAnsi="宋体"/>
          <w:sz w:val="28"/>
          <w:szCs w:val="28"/>
        </w:rPr>
      </w:pPr>
      <w:r>
        <w:rPr>
          <w:rFonts w:hint="eastAsia" w:hAnsi="宋体"/>
          <w:sz w:val="28"/>
          <w:szCs w:val="28"/>
        </w:rPr>
        <w:t xml:space="preserve">GB/T 20138 </w:t>
      </w:r>
      <w:r>
        <w:rPr>
          <w:rFonts w:hAnsi="宋体"/>
          <w:sz w:val="28"/>
          <w:szCs w:val="28"/>
        </w:rPr>
        <w:t xml:space="preserve"> </w:t>
      </w:r>
      <w:r>
        <w:rPr>
          <w:rFonts w:hint="eastAsia" w:hAnsi="宋体"/>
          <w:sz w:val="28"/>
          <w:szCs w:val="28"/>
        </w:rPr>
        <w:t>电器设备外壳对外界机械碰撞的防护等级（IK代码）</w:t>
      </w:r>
    </w:p>
    <w:p w14:paraId="3D704D1B">
      <w:pPr>
        <w:ind w:firstLine="560"/>
        <w:rPr>
          <w:rFonts w:hAnsi="宋体"/>
          <w:sz w:val="28"/>
          <w:szCs w:val="28"/>
        </w:rPr>
      </w:pPr>
      <w:r>
        <w:rPr>
          <w:rFonts w:hint="eastAsia" w:hAnsi="宋体"/>
          <w:sz w:val="28"/>
          <w:szCs w:val="28"/>
        </w:rPr>
        <w:t xml:space="preserve">EJ/T 1197-2007 </w:t>
      </w:r>
      <w:r>
        <w:rPr>
          <w:rFonts w:hAnsi="宋体"/>
          <w:sz w:val="28"/>
          <w:szCs w:val="28"/>
        </w:rPr>
        <w:t xml:space="preserve"> </w:t>
      </w:r>
      <w:r>
        <w:rPr>
          <w:rFonts w:hint="eastAsia" w:hAnsi="宋体"/>
          <w:sz w:val="28"/>
          <w:szCs w:val="28"/>
        </w:rPr>
        <w:t>核电厂安全级电气设备质量鉴定试验方法与环境条件</w:t>
      </w:r>
    </w:p>
    <w:p w14:paraId="184AEA7D">
      <w:pPr>
        <w:ind w:firstLine="560"/>
        <w:rPr>
          <w:rFonts w:hAnsi="宋体"/>
          <w:sz w:val="28"/>
          <w:szCs w:val="28"/>
        </w:rPr>
      </w:pPr>
      <w:r>
        <w:rPr>
          <w:rFonts w:hint="eastAsia" w:hAnsi="宋体"/>
          <w:sz w:val="28"/>
          <w:szCs w:val="28"/>
        </w:rPr>
        <w:t xml:space="preserve">NB/T 20040-2011 </w:t>
      </w:r>
      <w:r>
        <w:rPr>
          <w:rFonts w:hAnsi="宋体"/>
          <w:sz w:val="28"/>
          <w:szCs w:val="28"/>
        </w:rPr>
        <w:t xml:space="preserve"> </w:t>
      </w:r>
      <w:r>
        <w:rPr>
          <w:rFonts w:hint="eastAsia" w:hAnsi="宋体"/>
          <w:sz w:val="28"/>
          <w:szCs w:val="28"/>
        </w:rPr>
        <w:t>核电厂安全级电气设备抗震鉴定试验规则</w:t>
      </w:r>
    </w:p>
    <w:p w14:paraId="0D12838C">
      <w:pPr>
        <w:ind w:firstLine="560"/>
        <w:rPr>
          <w:rFonts w:hAnsi="宋体"/>
          <w:sz w:val="28"/>
          <w:szCs w:val="28"/>
        </w:rPr>
      </w:pPr>
      <w:r>
        <w:rPr>
          <w:rFonts w:hint="eastAsia" w:hAnsi="宋体"/>
          <w:sz w:val="28"/>
          <w:szCs w:val="28"/>
        </w:rPr>
        <w:t xml:space="preserve">NB/T 20093-2012 </w:t>
      </w:r>
      <w:r>
        <w:rPr>
          <w:rFonts w:hAnsi="宋体"/>
          <w:sz w:val="28"/>
          <w:szCs w:val="28"/>
        </w:rPr>
        <w:t xml:space="preserve"> </w:t>
      </w:r>
      <w:r>
        <w:rPr>
          <w:rFonts w:hint="eastAsia" w:hAnsi="宋体"/>
          <w:sz w:val="28"/>
          <w:szCs w:val="28"/>
        </w:rPr>
        <w:t>核电厂安全级阀门驱动装置的鉴定</w:t>
      </w:r>
    </w:p>
    <w:p w14:paraId="1A4D45F0">
      <w:pPr>
        <w:ind w:firstLine="560"/>
        <w:rPr>
          <w:rFonts w:hAnsi="宋体"/>
          <w:sz w:val="28"/>
          <w:szCs w:val="28"/>
        </w:rPr>
      </w:pPr>
      <w:r>
        <w:rPr>
          <w:rFonts w:hint="eastAsia" w:hAnsi="宋体"/>
          <w:sz w:val="28"/>
          <w:szCs w:val="28"/>
        </w:rPr>
        <w:t>八、重大意见分歧的处理经过和依据</w:t>
      </w:r>
    </w:p>
    <w:p w14:paraId="2180C4E2">
      <w:pPr>
        <w:ind w:firstLine="560"/>
        <w:rPr>
          <w:rFonts w:hAnsi="宋体"/>
          <w:sz w:val="28"/>
          <w:szCs w:val="28"/>
        </w:rPr>
      </w:pPr>
      <w:r>
        <w:rPr>
          <w:rFonts w:hint="eastAsia" w:hAnsi="宋体"/>
          <w:sz w:val="28"/>
          <w:szCs w:val="28"/>
        </w:rPr>
        <w:t>无</w:t>
      </w:r>
    </w:p>
    <w:p w14:paraId="640DCA85">
      <w:pPr>
        <w:ind w:firstLine="560"/>
        <w:rPr>
          <w:rFonts w:hAnsi="宋体"/>
          <w:sz w:val="28"/>
          <w:szCs w:val="28"/>
        </w:rPr>
      </w:pPr>
      <w:r>
        <w:rPr>
          <w:rFonts w:hint="eastAsia" w:hAnsi="宋体"/>
          <w:sz w:val="28"/>
          <w:szCs w:val="28"/>
        </w:rPr>
        <w:t>九、标准性质</w:t>
      </w:r>
    </w:p>
    <w:p w14:paraId="001F47E8">
      <w:pPr>
        <w:ind w:firstLine="560"/>
        <w:rPr>
          <w:rFonts w:hAnsi="宋体"/>
          <w:sz w:val="28"/>
          <w:szCs w:val="28"/>
        </w:rPr>
      </w:pPr>
      <w:r>
        <w:rPr>
          <w:rFonts w:hint="eastAsia" w:hAnsi="宋体"/>
          <w:sz w:val="28"/>
          <w:szCs w:val="28"/>
        </w:rPr>
        <w:t>本标准建议由本团体成员约定采用或按照本团体的规定供社会自愿采用。十、贯彻标准的要求和措施建议</w:t>
      </w:r>
    </w:p>
    <w:p w14:paraId="4B163EDC">
      <w:pPr>
        <w:ind w:firstLine="560"/>
        <w:rPr>
          <w:rFonts w:hAnsi="宋体"/>
          <w:sz w:val="28"/>
          <w:szCs w:val="28"/>
        </w:rPr>
      </w:pPr>
      <w:r>
        <w:rPr>
          <w:rFonts w:hint="eastAsia" w:hAnsi="宋体"/>
          <w:sz w:val="28"/>
          <w:szCs w:val="28"/>
        </w:rPr>
        <w:t>建议本标准批准发布</w:t>
      </w:r>
      <w:r>
        <w:rPr>
          <w:rFonts w:hAnsi="宋体"/>
          <w:sz w:val="28"/>
          <w:szCs w:val="28"/>
        </w:rPr>
        <w:t>1</w:t>
      </w:r>
      <w:r>
        <w:rPr>
          <w:rFonts w:hint="eastAsia" w:hAnsi="宋体"/>
          <w:sz w:val="28"/>
          <w:szCs w:val="28"/>
        </w:rPr>
        <w:t>个月后实施。</w:t>
      </w:r>
    </w:p>
    <w:p w14:paraId="2F7664E0">
      <w:pPr>
        <w:ind w:firstLine="560"/>
        <w:rPr>
          <w:rFonts w:hAnsi="宋体"/>
          <w:sz w:val="28"/>
          <w:szCs w:val="28"/>
        </w:rPr>
      </w:pPr>
      <w:r>
        <w:rPr>
          <w:rFonts w:hint="eastAsia" w:hAnsi="宋体"/>
          <w:sz w:val="28"/>
          <w:szCs w:val="28"/>
        </w:rPr>
        <w:t>十一、废止现行相关标准的建议</w:t>
      </w:r>
    </w:p>
    <w:p w14:paraId="6C08BD43">
      <w:pPr>
        <w:ind w:firstLine="560"/>
        <w:rPr>
          <w:rFonts w:hAnsi="宋体"/>
          <w:sz w:val="28"/>
          <w:szCs w:val="28"/>
        </w:rPr>
      </w:pPr>
      <w:r>
        <w:rPr>
          <w:rFonts w:hint="eastAsia" w:hAnsi="宋体"/>
          <w:sz w:val="28"/>
          <w:szCs w:val="28"/>
        </w:rPr>
        <w:t>无。</w:t>
      </w:r>
    </w:p>
    <w:p w14:paraId="2651B604">
      <w:pPr>
        <w:ind w:firstLine="560"/>
        <w:rPr>
          <w:rFonts w:hAnsi="宋体"/>
          <w:sz w:val="28"/>
          <w:szCs w:val="28"/>
        </w:rPr>
      </w:pPr>
      <w:r>
        <w:rPr>
          <w:rFonts w:hint="eastAsia" w:hAnsi="宋体"/>
          <w:sz w:val="28"/>
          <w:szCs w:val="28"/>
        </w:rPr>
        <w:t>十二、其他应予说明的事项</w:t>
      </w:r>
    </w:p>
    <w:p w14:paraId="27C088E7">
      <w:pPr>
        <w:ind w:firstLine="560"/>
        <w:rPr>
          <w:rFonts w:hAnsi="宋体"/>
          <w:sz w:val="28"/>
          <w:szCs w:val="28"/>
        </w:rPr>
      </w:pPr>
    </w:p>
    <w:p w14:paraId="5671AC01">
      <w:pPr>
        <w:ind w:firstLine="5040" w:firstLineChars="1800"/>
        <w:rPr>
          <w:rFonts w:hAnsi="宋体"/>
          <w:sz w:val="28"/>
          <w:szCs w:val="28"/>
        </w:rPr>
      </w:pPr>
      <w:r>
        <w:rPr>
          <w:rFonts w:hAnsi="宋体"/>
          <w:sz w:val="28"/>
          <w:szCs w:val="28"/>
        </w:rPr>
        <w:t>标准起草工作组</w:t>
      </w:r>
    </w:p>
    <w:p w14:paraId="61E0935A">
      <w:pPr>
        <w:ind w:firstLine="5040" w:firstLineChars="1800"/>
        <w:rPr>
          <w:rFonts w:hAnsi="宋体"/>
          <w:sz w:val="28"/>
          <w:szCs w:val="28"/>
        </w:rPr>
      </w:pPr>
      <w:r>
        <w:rPr>
          <w:rFonts w:hint="eastAsia" w:hAnsi="宋体"/>
          <w:sz w:val="28"/>
          <w:szCs w:val="28"/>
        </w:rPr>
        <w:t>2</w:t>
      </w:r>
      <w:r>
        <w:rPr>
          <w:rFonts w:hAnsi="宋体"/>
          <w:sz w:val="28"/>
          <w:szCs w:val="28"/>
        </w:rPr>
        <w:t>02</w:t>
      </w:r>
      <w:r>
        <w:rPr>
          <w:rFonts w:hint="eastAsia" w:hAnsi="宋体"/>
          <w:sz w:val="28"/>
          <w:szCs w:val="28"/>
        </w:rPr>
        <w:t>6</w:t>
      </w:r>
      <w:r>
        <w:rPr>
          <w:rFonts w:hAnsi="宋体"/>
          <w:sz w:val="28"/>
          <w:szCs w:val="28"/>
        </w:rPr>
        <w:t>年</w:t>
      </w:r>
      <w:r>
        <w:rPr>
          <w:rFonts w:hint="eastAsia" w:hAnsi="宋体"/>
          <w:sz w:val="28"/>
          <w:szCs w:val="28"/>
        </w:rPr>
        <w:t>3月30</w:t>
      </w:r>
      <w:r>
        <w:rPr>
          <w:rFonts w:hAnsi="宋体"/>
          <w:sz w:val="28"/>
          <w:szCs w:val="28"/>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134" w:left="1134" w:header="1134" w:footer="85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3229F">
    <w:pPr>
      <w:pStyle w:val="3"/>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7038"/>
                          </w:sdtPr>
                          <w:sdtContent>
                            <w:sdt>
                              <w:sdtPr>
                                <w:id w:val="147471394"/>
                              </w:sdtPr>
                              <w:sdtContent>
                                <w:p w14:paraId="20E995B8">
                                  <w:pPr>
                                    <w:pStyle w:val="3"/>
                                    <w:ind w:firstLine="360"/>
                                  </w:pPr>
                                  <w:r>
                                    <w:rPr>
                                      <w:lang w:val="zh-CN"/>
                                    </w:rPr>
                                    <w:t xml:space="preserve"> </w:t>
                                  </w:r>
                                  <w:r>
                                    <w:rPr>
                                      <w:sz w:val="24"/>
                                      <w:szCs w:val="24"/>
                                    </w:rPr>
                                    <w:fldChar w:fldCharType="begin"/>
                                  </w:r>
                                  <w:r>
                                    <w:instrText xml:space="preserve">PAGE</w:instrText>
                                  </w:r>
                                  <w:r>
                                    <w:rPr>
                                      <w:sz w:val="24"/>
                                      <w:szCs w:val="24"/>
                                    </w:rPr>
                                    <w:fldChar w:fldCharType="separate"/>
                                  </w:r>
                                  <w:r>
                                    <w:t>3</w:t>
                                  </w:r>
                                  <w:r>
                                    <w:rPr>
                                      <w:sz w:val="24"/>
                                      <w:szCs w:val="24"/>
                                    </w:rPr>
                                    <w:fldChar w:fldCharType="end"/>
                                  </w:r>
                                  <w:r>
                                    <w:rPr>
                                      <w:lang w:val="zh-CN"/>
                                    </w:rPr>
                                    <w:t xml:space="preserve"> / </w:t>
                                  </w:r>
                                  <w:r>
                                    <w:rPr>
                                      <w:sz w:val="24"/>
                                      <w:szCs w:val="24"/>
                                    </w:rPr>
                                    <w:fldChar w:fldCharType="begin"/>
                                  </w:r>
                                  <w:r>
                                    <w:instrText xml:space="preserve">NUMPAGES</w:instrText>
                                  </w:r>
                                  <w:r>
                                    <w:rPr>
                                      <w:sz w:val="24"/>
                                      <w:szCs w:val="24"/>
                                    </w:rPr>
                                    <w:fldChar w:fldCharType="separate"/>
                                  </w:r>
                                  <w:r>
                                    <w:t>6</w:t>
                                  </w:r>
                                  <w:r>
                                    <w:rPr>
                                      <w:sz w:val="24"/>
                                      <w:szCs w:val="24"/>
                                    </w:rPr>
                                    <w:fldChar w:fldCharType="end"/>
                                  </w:r>
                                </w:p>
                              </w:sdtContent>
                            </w:sdt>
                          </w:sdtContent>
                        </w:sdt>
                        <w:p w14:paraId="3EC5AB89"/>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67038"/>
                    </w:sdtPr>
                    <w:sdtContent>
                      <w:sdt>
                        <w:sdtPr>
                          <w:id w:val="147471394"/>
                        </w:sdtPr>
                        <w:sdtContent>
                          <w:p w14:paraId="20E995B8">
                            <w:pPr>
                              <w:pStyle w:val="3"/>
                              <w:ind w:firstLine="360"/>
                            </w:pPr>
                            <w:r>
                              <w:rPr>
                                <w:lang w:val="zh-CN"/>
                              </w:rPr>
                              <w:t xml:space="preserve"> </w:t>
                            </w:r>
                            <w:r>
                              <w:rPr>
                                <w:sz w:val="24"/>
                                <w:szCs w:val="24"/>
                              </w:rPr>
                              <w:fldChar w:fldCharType="begin"/>
                            </w:r>
                            <w:r>
                              <w:instrText xml:space="preserve">PAGE</w:instrText>
                            </w:r>
                            <w:r>
                              <w:rPr>
                                <w:sz w:val="24"/>
                                <w:szCs w:val="24"/>
                              </w:rPr>
                              <w:fldChar w:fldCharType="separate"/>
                            </w:r>
                            <w:r>
                              <w:t>3</w:t>
                            </w:r>
                            <w:r>
                              <w:rPr>
                                <w:sz w:val="24"/>
                                <w:szCs w:val="24"/>
                              </w:rPr>
                              <w:fldChar w:fldCharType="end"/>
                            </w:r>
                            <w:r>
                              <w:rPr>
                                <w:lang w:val="zh-CN"/>
                              </w:rPr>
                              <w:t xml:space="preserve"> / </w:t>
                            </w:r>
                            <w:r>
                              <w:rPr>
                                <w:sz w:val="24"/>
                                <w:szCs w:val="24"/>
                              </w:rPr>
                              <w:fldChar w:fldCharType="begin"/>
                            </w:r>
                            <w:r>
                              <w:instrText xml:space="preserve">NUMPAGES</w:instrText>
                            </w:r>
                            <w:r>
                              <w:rPr>
                                <w:sz w:val="24"/>
                                <w:szCs w:val="24"/>
                              </w:rPr>
                              <w:fldChar w:fldCharType="separate"/>
                            </w:r>
                            <w:r>
                              <w:t>6</w:t>
                            </w:r>
                            <w:r>
                              <w:rPr>
                                <w:sz w:val="24"/>
                                <w:szCs w:val="24"/>
                              </w:rPr>
                              <w:fldChar w:fldCharType="end"/>
                            </w:r>
                          </w:p>
                        </w:sdtContent>
                      </w:sdt>
                    </w:sdtContent>
                  </w:sdt>
                  <w:p w14:paraId="3EC5AB89"/>
                </w:txbxContent>
              </v:textbox>
            </v:shape>
          </w:pict>
        </mc:Fallback>
      </mc:AlternateContent>
    </w:r>
  </w:p>
  <w:p w14:paraId="56B4268C">
    <w:pPr>
      <w:pStyle w:val="3"/>
      <w:ind w:firstLine="360"/>
    </w:pPr>
  </w:p>
  <w:p w14:paraId="58379B34"/>
  <w:p w14:paraId="684A0B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A0684">
    <w:pPr>
      <w:pStyle w:val="3"/>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A4E31">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BA4E31">
                    <w:pPr>
                      <w:pStyle w:val="3"/>
                    </w:pPr>
                    <w:r>
                      <w:fldChar w:fldCharType="begin"/>
                    </w:r>
                    <w:r>
                      <w:instrText xml:space="preserve"> PAGE  \* MERGEFORMAT </w:instrText>
                    </w:r>
                    <w:r>
                      <w:fldChar w:fldCharType="separate"/>
                    </w:r>
                    <w:r>
                      <w:t>2</w:t>
                    </w:r>
                    <w:r>
                      <w:fldChar w:fldCharType="end"/>
                    </w:r>
                  </w:p>
                </w:txbxContent>
              </v:textbox>
            </v:shape>
          </w:pict>
        </mc:Fallback>
      </mc:AlternateContent>
    </w:r>
  </w:p>
  <w:p w14:paraId="2138B99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0E614">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5A978">
    <w:pPr>
      <w:pStyle w:val="4"/>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560E8">
    <w:pPr>
      <w:pStyle w:val="4"/>
      <w:pBdr>
        <w:bottom w:val="none" w:color="auto" w:sz="0" w:space="1"/>
      </w:pBdr>
      <w:ind w:firstLine="360"/>
    </w:pPr>
  </w:p>
  <w:p w14:paraId="22B39580">
    <w:pPr>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8ECD2">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jMWNlODdhN2NmYjJhNjZmMTRmZTQyMzBmODc1MTAifQ=="/>
  </w:docVars>
  <w:rsids>
    <w:rsidRoot w:val="004D0F19"/>
    <w:rsid w:val="000725DA"/>
    <w:rsid w:val="00086BDD"/>
    <w:rsid w:val="00092CE2"/>
    <w:rsid w:val="000C34D6"/>
    <w:rsid w:val="000D6D85"/>
    <w:rsid w:val="000E6735"/>
    <w:rsid w:val="000F02C0"/>
    <w:rsid w:val="001134EB"/>
    <w:rsid w:val="0014088B"/>
    <w:rsid w:val="00160856"/>
    <w:rsid w:val="001777C2"/>
    <w:rsid w:val="0018701B"/>
    <w:rsid w:val="001A3523"/>
    <w:rsid w:val="001B547D"/>
    <w:rsid w:val="001B6E52"/>
    <w:rsid w:val="001B7D64"/>
    <w:rsid w:val="001C1D72"/>
    <w:rsid w:val="001C482B"/>
    <w:rsid w:val="001C6937"/>
    <w:rsid w:val="001C72F5"/>
    <w:rsid w:val="001E7814"/>
    <w:rsid w:val="00230A50"/>
    <w:rsid w:val="00237257"/>
    <w:rsid w:val="00254AAE"/>
    <w:rsid w:val="00257152"/>
    <w:rsid w:val="00261F23"/>
    <w:rsid w:val="00267FA1"/>
    <w:rsid w:val="00276E88"/>
    <w:rsid w:val="002957FC"/>
    <w:rsid w:val="002B12FB"/>
    <w:rsid w:val="002B1E16"/>
    <w:rsid w:val="002B2614"/>
    <w:rsid w:val="002B5087"/>
    <w:rsid w:val="002B799F"/>
    <w:rsid w:val="002C7192"/>
    <w:rsid w:val="002F1261"/>
    <w:rsid w:val="0030017B"/>
    <w:rsid w:val="00302CB2"/>
    <w:rsid w:val="003067DF"/>
    <w:rsid w:val="00314716"/>
    <w:rsid w:val="0031646E"/>
    <w:rsid w:val="00335A2D"/>
    <w:rsid w:val="00343A99"/>
    <w:rsid w:val="00347012"/>
    <w:rsid w:val="00395E08"/>
    <w:rsid w:val="003A154F"/>
    <w:rsid w:val="003D7FDC"/>
    <w:rsid w:val="003E1DE3"/>
    <w:rsid w:val="003F2017"/>
    <w:rsid w:val="003F2C7A"/>
    <w:rsid w:val="003F6DCA"/>
    <w:rsid w:val="00400981"/>
    <w:rsid w:val="004040A5"/>
    <w:rsid w:val="00431E59"/>
    <w:rsid w:val="004357D2"/>
    <w:rsid w:val="004403C5"/>
    <w:rsid w:val="004943E9"/>
    <w:rsid w:val="004965FD"/>
    <w:rsid w:val="004A3191"/>
    <w:rsid w:val="004D0F19"/>
    <w:rsid w:val="00502A93"/>
    <w:rsid w:val="00510E0C"/>
    <w:rsid w:val="0051713D"/>
    <w:rsid w:val="005439C6"/>
    <w:rsid w:val="005631A9"/>
    <w:rsid w:val="00572895"/>
    <w:rsid w:val="005B77F6"/>
    <w:rsid w:val="005C53E7"/>
    <w:rsid w:val="005C75AD"/>
    <w:rsid w:val="005D436C"/>
    <w:rsid w:val="005D47CB"/>
    <w:rsid w:val="005D4C07"/>
    <w:rsid w:val="005D7EB8"/>
    <w:rsid w:val="005E1FA3"/>
    <w:rsid w:val="0061282F"/>
    <w:rsid w:val="00632F95"/>
    <w:rsid w:val="00641E0C"/>
    <w:rsid w:val="006462C0"/>
    <w:rsid w:val="006536FE"/>
    <w:rsid w:val="00654297"/>
    <w:rsid w:val="00677B30"/>
    <w:rsid w:val="0069771D"/>
    <w:rsid w:val="006B5C37"/>
    <w:rsid w:val="006D40BE"/>
    <w:rsid w:val="006F1A6B"/>
    <w:rsid w:val="00722DF8"/>
    <w:rsid w:val="00723096"/>
    <w:rsid w:val="0073104E"/>
    <w:rsid w:val="00732CD3"/>
    <w:rsid w:val="00737446"/>
    <w:rsid w:val="007566C2"/>
    <w:rsid w:val="00760747"/>
    <w:rsid w:val="00760A6B"/>
    <w:rsid w:val="00770235"/>
    <w:rsid w:val="007762F7"/>
    <w:rsid w:val="007A1FFB"/>
    <w:rsid w:val="007A5DC8"/>
    <w:rsid w:val="007D04F1"/>
    <w:rsid w:val="007E5090"/>
    <w:rsid w:val="007E65E5"/>
    <w:rsid w:val="007E7330"/>
    <w:rsid w:val="007F1329"/>
    <w:rsid w:val="008044A6"/>
    <w:rsid w:val="00807294"/>
    <w:rsid w:val="00811DBA"/>
    <w:rsid w:val="008178D4"/>
    <w:rsid w:val="00823867"/>
    <w:rsid w:val="00840268"/>
    <w:rsid w:val="008431F0"/>
    <w:rsid w:val="008567F5"/>
    <w:rsid w:val="00861804"/>
    <w:rsid w:val="008852CC"/>
    <w:rsid w:val="008C522F"/>
    <w:rsid w:val="008C7A58"/>
    <w:rsid w:val="008C7A91"/>
    <w:rsid w:val="008D3AB4"/>
    <w:rsid w:val="008E57DD"/>
    <w:rsid w:val="008F0996"/>
    <w:rsid w:val="008F0CAD"/>
    <w:rsid w:val="00906C1E"/>
    <w:rsid w:val="009143C4"/>
    <w:rsid w:val="00925162"/>
    <w:rsid w:val="009339E4"/>
    <w:rsid w:val="00934D1E"/>
    <w:rsid w:val="0094564F"/>
    <w:rsid w:val="00945E01"/>
    <w:rsid w:val="00952671"/>
    <w:rsid w:val="00955F88"/>
    <w:rsid w:val="009B3C42"/>
    <w:rsid w:val="009B752C"/>
    <w:rsid w:val="009C2E1F"/>
    <w:rsid w:val="009C41E6"/>
    <w:rsid w:val="009D0A3D"/>
    <w:rsid w:val="009E5CCA"/>
    <w:rsid w:val="009E660B"/>
    <w:rsid w:val="009F6CBF"/>
    <w:rsid w:val="00A1063A"/>
    <w:rsid w:val="00A107B7"/>
    <w:rsid w:val="00A1463C"/>
    <w:rsid w:val="00A442DF"/>
    <w:rsid w:val="00A475B7"/>
    <w:rsid w:val="00A50599"/>
    <w:rsid w:val="00A506B0"/>
    <w:rsid w:val="00A5139A"/>
    <w:rsid w:val="00A52EC9"/>
    <w:rsid w:val="00A808CD"/>
    <w:rsid w:val="00A937C5"/>
    <w:rsid w:val="00AA558A"/>
    <w:rsid w:val="00AA649F"/>
    <w:rsid w:val="00AA78DF"/>
    <w:rsid w:val="00AC1667"/>
    <w:rsid w:val="00AD0994"/>
    <w:rsid w:val="00AD36D2"/>
    <w:rsid w:val="00AE568A"/>
    <w:rsid w:val="00B02183"/>
    <w:rsid w:val="00B2012F"/>
    <w:rsid w:val="00B403C3"/>
    <w:rsid w:val="00B41593"/>
    <w:rsid w:val="00B43DC9"/>
    <w:rsid w:val="00B5048D"/>
    <w:rsid w:val="00B50601"/>
    <w:rsid w:val="00B51A65"/>
    <w:rsid w:val="00B64988"/>
    <w:rsid w:val="00B81364"/>
    <w:rsid w:val="00B8196A"/>
    <w:rsid w:val="00BB11FF"/>
    <w:rsid w:val="00BB2409"/>
    <w:rsid w:val="00BB39AD"/>
    <w:rsid w:val="00BB4994"/>
    <w:rsid w:val="00BB6A07"/>
    <w:rsid w:val="00BC42D6"/>
    <w:rsid w:val="00BD0E74"/>
    <w:rsid w:val="00BF31A4"/>
    <w:rsid w:val="00C04977"/>
    <w:rsid w:val="00C067E8"/>
    <w:rsid w:val="00C1327C"/>
    <w:rsid w:val="00C276FA"/>
    <w:rsid w:val="00C309E6"/>
    <w:rsid w:val="00C65D12"/>
    <w:rsid w:val="00C953F1"/>
    <w:rsid w:val="00CB5BBD"/>
    <w:rsid w:val="00CB74DE"/>
    <w:rsid w:val="00CC4031"/>
    <w:rsid w:val="00CC51BC"/>
    <w:rsid w:val="00CE1950"/>
    <w:rsid w:val="00CF2E5C"/>
    <w:rsid w:val="00CF7346"/>
    <w:rsid w:val="00CF774E"/>
    <w:rsid w:val="00D15BEA"/>
    <w:rsid w:val="00D207BE"/>
    <w:rsid w:val="00D25A4C"/>
    <w:rsid w:val="00D26CE1"/>
    <w:rsid w:val="00D33D81"/>
    <w:rsid w:val="00D34BE4"/>
    <w:rsid w:val="00D403A7"/>
    <w:rsid w:val="00D448E2"/>
    <w:rsid w:val="00D72266"/>
    <w:rsid w:val="00D7674D"/>
    <w:rsid w:val="00D865A7"/>
    <w:rsid w:val="00D9254B"/>
    <w:rsid w:val="00D92F68"/>
    <w:rsid w:val="00D96C55"/>
    <w:rsid w:val="00DA6D54"/>
    <w:rsid w:val="00DB09AE"/>
    <w:rsid w:val="00DB473E"/>
    <w:rsid w:val="00DD2F68"/>
    <w:rsid w:val="00DD6B31"/>
    <w:rsid w:val="00DE0F8C"/>
    <w:rsid w:val="00DE42C8"/>
    <w:rsid w:val="00DF6839"/>
    <w:rsid w:val="00E060B9"/>
    <w:rsid w:val="00E0646D"/>
    <w:rsid w:val="00E10004"/>
    <w:rsid w:val="00E14623"/>
    <w:rsid w:val="00E26483"/>
    <w:rsid w:val="00E42AA3"/>
    <w:rsid w:val="00E4543F"/>
    <w:rsid w:val="00E86C5A"/>
    <w:rsid w:val="00EA059E"/>
    <w:rsid w:val="00EB04FC"/>
    <w:rsid w:val="00EC1326"/>
    <w:rsid w:val="00ED119F"/>
    <w:rsid w:val="00ED1593"/>
    <w:rsid w:val="00ED1D22"/>
    <w:rsid w:val="00ED6033"/>
    <w:rsid w:val="00F0324D"/>
    <w:rsid w:val="00F07B5F"/>
    <w:rsid w:val="00F23C0B"/>
    <w:rsid w:val="00F374FA"/>
    <w:rsid w:val="00F460E2"/>
    <w:rsid w:val="00F52E92"/>
    <w:rsid w:val="00F6588C"/>
    <w:rsid w:val="00F6671B"/>
    <w:rsid w:val="00F7591F"/>
    <w:rsid w:val="00F92300"/>
    <w:rsid w:val="00F97AC2"/>
    <w:rsid w:val="00FA37C2"/>
    <w:rsid w:val="00FC3631"/>
    <w:rsid w:val="00FC4E94"/>
    <w:rsid w:val="00FD493A"/>
    <w:rsid w:val="00FF791D"/>
    <w:rsid w:val="012313A8"/>
    <w:rsid w:val="02CC53B7"/>
    <w:rsid w:val="063B1C34"/>
    <w:rsid w:val="0B5F1B77"/>
    <w:rsid w:val="10B464C1"/>
    <w:rsid w:val="18181056"/>
    <w:rsid w:val="1A584361"/>
    <w:rsid w:val="1A657721"/>
    <w:rsid w:val="1B2B4EF8"/>
    <w:rsid w:val="2076109D"/>
    <w:rsid w:val="23241BE3"/>
    <w:rsid w:val="235316AD"/>
    <w:rsid w:val="23871813"/>
    <w:rsid w:val="24285A9F"/>
    <w:rsid w:val="2F15646A"/>
    <w:rsid w:val="383F62F7"/>
    <w:rsid w:val="42CA6629"/>
    <w:rsid w:val="499C1382"/>
    <w:rsid w:val="4C6444DD"/>
    <w:rsid w:val="4E165AE9"/>
    <w:rsid w:val="553D44B6"/>
    <w:rsid w:val="5A662738"/>
    <w:rsid w:val="60AD71EE"/>
    <w:rsid w:val="62953D73"/>
    <w:rsid w:val="67430B7A"/>
    <w:rsid w:val="6AEB36F7"/>
    <w:rsid w:val="71452997"/>
    <w:rsid w:val="77430698"/>
    <w:rsid w:val="79E10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ind w:firstLine="640" w:firstLineChars="200"/>
      <w:jc w:val="both"/>
    </w:pPr>
    <w:rPr>
      <w:rFonts w:ascii="宋体" w:hAnsi="Times New Roman" w:eastAsia="宋体" w:cs="Times New Roman"/>
      <w:sz w:val="32"/>
      <w:szCs w:val="3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14"/>
    <w:autoRedefine/>
    <w:qFormat/>
    <w:uiPriority w:val="1"/>
    <w:pPr>
      <w:jc w:val="left"/>
    </w:pPr>
    <w:rPr>
      <w:rFonts w:hAnsi="宋体" w:cs="宋体"/>
      <w:szCs w:val="21"/>
      <w:lang w:eastAsia="en-US"/>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autoRedefine/>
    <w:qFormat/>
    <w:uiPriority w:val="99"/>
    <w:rPr>
      <w:sz w:val="18"/>
      <w:szCs w:val="18"/>
    </w:rPr>
  </w:style>
  <w:style w:type="character" w:customStyle="1" w:styleId="9">
    <w:name w:val="页脚 字符"/>
    <w:basedOn w:val="7"/>
    <w:link w:val="3"/>
    <w:autoRedefine/>
    <w:qFormat/>
    <w:uiPriority w:val="99"/>
    <w:rPr>
      <w:sz w:val="18"/>
      <w:szCs w:val="18"/>
    </w:rPr>
  </w:style>
  <w:style w:type="paragraph" w:styleId="10">
    <w:name w:val="List Paragraph"/>
    <w:basedOn w:val="1"/>
    <w:autoRedefine/>
    <w:qFormat/>
    <w:uiPriority w:val="34"/>
    <w:pPr>
      <w:ind w:firstLine="420"/>
    </w:pPr>
  </w:style>
  <w:style w:type="paragraph" w:customStyle="1" w:styleId="11">
    <w:name w:val="标准文件_段"/>
    <w:link w:val="12"/>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
    <w:name w:val="标准文件_段 Char"/>
    <w:link w:val="11"/>
    <w:autoRedefine/>
    <w:qFormat/>
    <w:uiPriority w:val="0"/>
    <w:rPr>
      <w:rFonts w:ascii="宋体" w:hAnsi="Times New Roman" w:eastAsia="宋体" w:cs="Times New Roman"/>
      <w:kern w:val="0"/>
      <w:szCs w:val="20"/>
    </w:rPr>
  </w:style>
  <w:style w:type="paragraph" w:customStyle="1" w:styleId="13">
    <w:name w:val="Default"/>
    <w:autoRedefine/>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 w:type="character" w:customStyle="1" w:styleId="14">
    <w:name w:val="正文文本 字符"/>
    <w:basedOn w:val="7"/>
    <w:link w:val="2"/>
    <w:autoRedefine/>
    <w:qFormat/>
    <w:uiPriority w:val="1"/>
    <w:rPr>
      <w:rFonts w:ascii="宋体" w:hAnsi="宋体" w:eastAsia="宋体" w:cs="宋体"/>
      <w:kern w:val="0"/>
      <w:szCs w:val="21"/>
      <w:lang w:eastAsia="en-US"/>
    </w:rPr>
  </w:style>
  <w:style w:type="paragraph" w:customStyle="1" w:styleId="1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3850</Words>
  <Characters>4449</Characters>
  <Lines>34</Lines>
  <Paragraphs>9</Paragraphs>
  <TotalTime>3</TotalTime>
  <ScaleCrop>false</ScaleCrop>
  <LinksUpToDate>false</LinksUpToDate>
  <CharactersWithSpaces>4694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2023-02-10T05:44:00Z</dcterms:created>
  <dc:creator>cxz</dc:creator>
  <cp:lastModifiedBy>谷悦</cp:lastModifiedBy>
  <dcterms:modified xsi:type="dcterms:W3CDTF">2026-03-30T01:37:14Z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73B531FFD4C9484C9E2C28C2CBC8D682_13</vt:lpwstr>
  </property>
  <property fmtid="{D5CDD505-2E9C-101B-9397-08002B2CF9AE}" pid="4" name="KSOTemplateDocerSaveRecord">
    <vt:lpwstr>eyJoZGlkIjoiNTJjMWNlODdhN2NmYjJhNjZmMTRmZTQyMzBmODc1MTAiLCJ1c2VySWQiOiIzNjA1NDA5ODAifQ==</vt:lpwstr>
  </property>
</Properties>
</file>