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DA0" w:rsidRPr="00387BCA" w:rsidRDefault="00070DA0" w:rsidP="00387BCA">
      <w:pPr>
        <w:topLinePunct/>
        <w:spacing w:after="0" w:line="240" w:lineRule="auto"/>
        <w:ind w:firstLineChars="200" w:firstLine="880"/>
        <w:contextualSpacing/>
        <w:mirrorIndents/>
        <w:jc w:val="center"/>
        <w:rPr>
          <w:rFonts w:ascii="黑体" w:eastAsia="黑体" w:hAnsi="黑体"/>
          <w:sz w:val="44"/>
          <w:szCs w:val="44"/>
        </w:rPr>
      </w:pPr>
      <w:r w:rsidRPr="00387BCA">
        <w:rPr>
          <w:rFonts w:ascii="黑体" w:eastAsia="黑体" w:hAnsi="黑体" w:cs="宋体" w:hint="eastAsia"/>
          <w:kern w:val="0"/>
          <w:sz w:val="44"/>
          <w:szCs w:val="44"/>
        </w:rPr>
        <w:t>《机电一体化技术专业 光伏组件自动产线售后工程师职业能力与评价规范》团体标准编制说明</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一、工作简况</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（一）任务来源</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本标准由××××（提出单位）提出，经××××（归口单位）批准立项，项目编号为××××，项目名称为《机电一体化技术专业 光伏组件自动产线售后工程师职业能力与评价规范》。本标准为自主制定项目。</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（二）制定背景</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随着我国“双碳”战略的深入推进，光</w:t>
      </w:r>
      <w:proofErr w:type="gramStart"/>
      <w:r w:rsidRPr="00387BCA">
        <w:rPr>
          <w:rFonts w:cs="Times New Roman" w:hint="eastAsia"/>
          <w:kern w:val="2"/>
          <w:sz w:val="28"/>
          <w:szCs w:val="28"/>
        </w:rPr>
        <w:t>伏产业</w:t>
      </w:r>
      <w:proofErr w:type="gramEnd"/>
      <w:r w:rsidRPr="00387BCA">
        <w:rPr>
          <w:rFonts w:cs="Times New Roman" w:hint="eastAsia"/>
          <w:kern w:val="2"/>
          <w:sz w:val="28"/>
          <w:szCs w:val="28"/>
        </w:rPr>
        <w:t>进入高速发展期，光伏组件</w:t>
      </w:r>
      <w:proofErr w:type="gramStart"/>
      <w:r w:rsidRPr="00387BCA">
        <w:rPr>
          <w:rFonts w:cs="Times New Roman" w:hint="eastAsia"/>
          <w:kern w:val="2"/>
          <w:sz w:val="28"/>
          <w:szCs w:val="28"/>
        </w:rPr>
        <w:t>自动化产线技术</w:t>
      </w:r>
      <w:proofErr w:type="gramEnd"/>
      <w:r w:rsidRPr="00387BCA">
        <w:rPr>
          <w:rFonts w:cs="Times New Roman" w:hint="eastAsia"/>
          <w:kern w:val="2"/>
          <w:sz w:val="28"/>
          <w:szCs w:val="28"/>
        </w:rPr>
        <w:t>集成度持续提升，对售后工程师的技术能力和职业素养提出了更高要求。当前，行业内在机电一体化技术专业光伏组件自动产线售后工程师的培养目标、培养模式、能力要求及评价方式等方面缺乏统一规范，各职业院校和企业各自为政，导致人才培养质量参差不齐，难以满足行业快速发展对高素质技术技能人才的迫切需求。</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为解决上述问题，依据《国家职业教育改革实施方案》《关于推动现代职业教育高质量发展的意见》等文件精神，结合校企联合培养的实践经验，特制定本团体标准。</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（三）主要工作过程</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1. 预研与立项阶段（××××年××月—××××年××月）</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lastRenderedPageBreak/>
        <w:t>组织行业调研，走访光伏组件生产企业及职业院校，了解机电一体化技术专业售后工程师岗位的实际需求与培养现状，形成标准立项建议书。经专家评审通过后，正式立项。</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2. 起草阶段（××××年××月—××××年××月）</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成立标准起草工作组，确定工作组成员及分工。工作组收集整理了《国家职业技能标准编制技术规程》、GB/T 1.1—2020《标准化工作导则 第1部分：标准化文件的结构和起草规则》、GB/T 20000《标准化工作指南》、GB/T 20001《标准编写规则》等基础标准文件，以及机电一体化技术专业教学标准、光</w:t>
      </w:r>
      <w:proofErr w:type="gramStart"/>
      <w:r w:rsidRPr="00387BCA">
        <w:rPr>
          <w:rFonts w:cs="Times New Roman" w:hint="eastAsia"/>
          <w:kern w:val="2"/>
          <w:sz w:val="28"/>
          <w:szCs w:val="28"/>
        </w:rPr>
        <w:t>伏行业</w:t>
      </w:r>
      <w:proofErr w:type="gramEnd"/>
      <w:r w:rsidRPr="00387BCA">
        <w:rPr>
          <w:rFonts w:cs="Times New Roman" w:hint="eastAsia"/>
          <w:kern w:val="2"/>
          <w:sz w:val="28"/>
          <w:szCs w:val="28"/>
        </w:rPr>
        <w:t>相关标准等参考资料。在充分调研和研讨的基础上，形成了标准草案初稿。</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3. 征求意见阶段（××××年××月—××××年××月）</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将标准征求意见稿发送至相关职业院校、光</w:t>
      </w:r>
      <w:proofErr w:type="gramStart"/>
      <w:r w:rsidRPr="00387BCA">
        <w:rPr>
          <w:rFonts w:cs="Times New Roman" w:hint="eastAsia"/>
          <w:kern w:val="2"/>
          <w:sz w:val="28"/>
          <w:szCs w:val="28"/>
        </w:rPr>
        <w:t>伏行业</w:t>
      </w:r>
      <w:proofErr w:type="gramEnd"/>
      <w:r w:rsidRPr="00387BCA">
        <w:rPr>
          <w:rFonts w:cs="Times New Roman" w:hint="eastAsia"/>
          <w:kern w:val="2"/>
          <w:sz w:val="28"/>
          <w:szCs w:val="28"/>
        </w:rPr>
        <w:t>企业、科研院所及标准化技术委员会等单位征求意见。共发出征求意见函××份，收回××份，收到意见××条。工作组对每一条意见进行了逐条分析处理，采纳××条，部分采纳××条，未采纳××条（均已说明理由）。在此基础上形成了标准送审稿。</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4. 审查阶段（××××年××月—××××年××月）</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组织召开标准审查会，邀请标准化专家、行业专家和教育领域专家对标准送审稿进行技术审查。专家组对标准的技术内容、编写格式、与现行标准的协调性等方面进行了全面审查，提出了修改意见。工作组根据审查意见对标准进行了修改完善，形成了标准报批稿。</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（四）主要起草单位及起草人</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lastRenderedPageBreak/>
        <w:t>本标准起草单位：××××、××××、××××。</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本标准主要起草人：××××、××××、××××。</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主要起草人分工如下：</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——××××（姓名），××××（单位），负责标准总体框架设计、技术内容统筹；</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——××××（姓名），××××（单位），负责职业能力要求部分的起草；</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——××××（姓名），××××（单位），负责培养要求部分的起草；</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——××××（姓名），××××（单位），负责评价要求部分的起草；</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——××××（姓名），××××（单位），负责标准格式审查及与现行标准的协调性检查。</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二、标准编制原则</w:t>
      </w:r>
    </w:p>
    <w:p w:rsidR="00070DA0" w:rsidRPr="00387BCA" w:rsidRDefault="00070DA0" w:rsidP="00387BCA">
      <w:pPr>
        <w:topLinePunct/>
        <w:spacing w:after="0" w:line="240" w:lineRule="auto"/>
        <w:ind w:firstLineChars="200" w:firstLine="560"/>
        <w:contextualSpacing/>
        <w:mirrorIndents/>
        <w:rPr>
          <w:rFonts w:ascii="宋体" w:eastAsia="宋体" w:hAnsi="宋体"/>
          <w:sz w:val="28"/>
          <w:szCs w:val="28"/>
        </w:rPr>
      </w:pPr>
      <w:r w:rsidRPr="00387BCA">
        <w:rPr>
          <w:rFonts w:ascii="宋体" w:eastAsia="宋体" w:hAnsi="宋体" w:hint="eastAsia"/>
          <w:sz w:val="28"/>
          <w:szCs w:val="28"/>
        </w:rPr>
        <w:t>本标准编制遵循以下原则：</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（一）规范性原则</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按照GB/T 1.1—2020《标准化工作导则 第1部分：标准化文件的结构和起草规则》以及GB/T 20001.5—2017《标准编写规则 第5部分：规范标准》的规定进行编写，确保标准结构的规范性和表述的准确性。</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（二）科学性原则</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以职业岗位能力分析为基础，依据光</w:t>
      </w:r>
      <w:proofErr w:type="gramStart"/>
      <w:r w:rsidRPr="00387BCA">
        <w:rPr>
          <w:rFonts w:cs="Times New Roman" w:hint="eastAsia"/>
          <w:kern w:val="2"/>
          <w:sz w:val="28"/>
          <w:szCs w:val="28"/>
        </w:rPr>
        <w:t>伏行业</w:t>
      </w:r>
      <w:proofErr w:type="gramEnd"/>
      <w:r w:rsidRPr="00387BCA">
        <w:rPr>
          <w:rFonts w:cs="Times New Roman" w:hint="eastAsia"/>
          <w:kern w:val="2"/>
          <w:sz w:val="28"/>
          <w:szCs w:val="28"/>
        </w:rPr>
        <w:t>对售后工程师岗位的</w:t>
      </w:r>
      <w:r w:rsidRPr="00387BCA">
        <w:rPr>
          <w:rFonts w:cs="Times New Roman" w:hint="eastAsia"/>
          <w:kern w:val="2"/>
          <w:sz w:val="28"/>
          <w:szCs w:val="28"/>
        </w:rPr>
        <w:lastRenderedPageBreak/>
        <w:t>实际需求，科学界定职业能力要求，确保标准内容的合理性和可操作性。</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（三）实用性原则</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紧密结合职业教育校企双元育人的培养实践，充分考虑标准在职业院校人才培养和企业人才评价中的实际应用场景，确保标准易于实施和推广。</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（四）协调性原则</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与现行国家法律法规、职业教育相关政策、职业技能等级制度以及相关标准保持协调一致，避免矛盾与冲突。</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（五）开放性原则</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广泛吸纳行业企业、职业院校和科研院所的意见和建议，确保标准具有广泛的代表性和适用性。</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三、标准主要内容及其确定依据</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（一）标准主要内容</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本标准按照规范标准的功能定位，规定了机电一体化技术专业光伏组件自动产线售后工程师的职业能力要求、培养要求和评价要求。主要包括以下内容：</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第1章 范围：明确了本标准的适用对象和适用范围，即职业院校机电一体化技术专业相关方向的人才培养，以及企业、社会培训评价组织开展相关职业技能等级评价工作。</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第2章 规范性引用文件：列出了本标准引用的GB/T 1.1—2020、GB/T 20000.1、GB/T 20001.5—2017等基础性标准文件。</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lastRenderedPageBreak/>
        <w:t>第3章 术语和定义：对“光伏组件自动产线”“售后工程师”“现场工程师”“校企双元育人”等关键术语进行了界定，确保标准用语的一致性和准确性。</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第4章 职业能力要求：从知识要求、能力要求和素质要求三个维度，规定了售后工程师应具备的职业能力。该章是本标准的规范性技术要素。</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第5章 培养要求：规定了售后工程师的培养模式、培养阶段、基本修业年限、学分要求、职业资格证书要求，以及教学团队、教学设施、教学资源等方面的保障要求。</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第6章 评价要求：规定了考核评价的原则、主体、方式、证实方法及评价结果的运用。</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（二）确定依据</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1. 职业能力要求的确定依据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第4</w:t>
      </w:r>
      <w:proofErr w:type="gramStart"/>
      <w:r w:rsidRPr="00387BCA">
        <w:rPr>
          <w:rFonts w:cs="Times New Roman" w:hint="eastAsia"/>
          <w:kern w:val="2"/>
          <w:sz w:val="28"/>
          <w:szCs w:val="28"/>
        </w:rPr>
        <w:t>章职业</w:t>
      </w:r>
      <w:proofErr w:type="gramEnd"/>
      <w:r w:rsidRPr="00387BCA">
        <w:rPr>
          <w:rFonts w:cs="Times New Roman" w:hint="eastAsia"/>
          <w:kern w:val="2"/>
          <w:sz w:val="28"/>
          <w:szCs w:val="28"/>
        </w:rPr>
        <w:t>能力要求的确定，主要依据以下方面：</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a) 对光</w:t>
      </w:r>
      <w:proofErr w:type="gramStart"/>
      <w:r w:rsidRPr="00387BCA">
        <w:rPr>
          <w:rFonts w:cs="Times New Roman" w:hint="eastAsia"/>
          <w:kern w:val="2"/>
          <w:sz w:val="28"/>
          <w:szCs w:val="28"/>
        </w:rPr>
        <w:t>伏</w:t>
      </w:r>
      <w:proofErr w:type="gramEnd"/>
      <w:r w:rsidRPr="00387BCA">
        <w:rPr>
          <w:rFonts w:cs="Times New Roman" w:hint="eastAsia"/>
          <w:kern w:val="2"/>
          <w:sz w:val="28"/>
          <w:szCs w:val="28"/>
        </w:rPr>
        <w:t>组件自动化设备制造企业和光伏发电企业的实地调研，了解售后工程师岗位的实际工作内容；</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b) 对机电一体化技术专业国家教学标准、相关职业技能等级标准的分析研究；</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c) 参考《国家职业技能标准编制技术规程》对职业能力描述的要求；</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d) 借鉴校企联合培养售后工程师的实践经验，将岗位典型工作任务转化为知识、能力和素质要求。</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lastRenderedPageBreak/>
        <w:t>2. 培养要求的确定依据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第5章培养要求的确定，主要依据《国家职业教育改革实施方案》《关于推动现代职业教育高质量发展的意见》等政策文件，以及职业院校机电一体化技术专业教学标准和</w:t>
      </w:r>
      <w:proofErr w:type="gramStart"/>
      <w:r w:rsidRPr="00387BCA">
        <w:rPr>
          <w:rFonts w:cs="Times New Roman" w:hint="eastAsia"/>
          <w:kern w:val="2"/>
          <w:sz w:val="28"/>
          <w:szCs w:val="28"/>
        </w:rPr>
        <w:t>校企</w:t>
      </w:r>
      <w:proofErr w:type="gramEnd"/>
      <w:r w:rsidRPr="00387BCA">
        <w:rPr>
          <w:rFonts w:cs="Times New Roman" w:hint="eastAsia"/>
          <w:kern w:val="2"/>
          <w:sz w:val="28"/>
          <w:szCs w:val="28"/>
        </w:rPr>
        <w:t>双元育人的实践经验。</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3. 评价要求的确定依据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第6章评价要求的确定，主要依据职业技能等级评价的相关规定和“1+X”证书制度的要求，结合校企联合评价的实践经验。</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四、与国内外标准对比情况</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（一）国内相关标准情况</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国内目前在机电一体化技术专业领域已发布相关专业教学标准，但针对光伏组件自动产线售后工程师这一特定岗位的职业能力与评价规范尚属空白。本标准是对现有专业教学标准在特定行业岗位方向上的补充和细化。</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（二）国际相关准情况</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经检索，国际上尚无专门针对光伏组件自动产线售后工程师职</w:t>
      </w:r>
      <w:proofErr w:type="gramStart"/>
      <w:r w:rsidRPr="00387BCA">
        <w:rPr>
          <w:rFonts w:cs="Times New Roman" w:hint="eastAsia"/>
          <w:kern w:val="2"/>
          <w:sz w:val="28"/>
          <w:szCs w:val="28"/>
        </w:rPr>
        <w:t>业能力</w:t>
      </w:r>
      <w:proofErr w:type="gramEnd"/>
      <w:r w:rsidRPr="00387BCA">
        <w:rPr>
          <w:rFonts w:cs="Times New Roman" w:hint="eastAsia"/>
          <w:kern w:val="2"/>
          <w:sz w:val="28"/>
          <w:szCs w:val="28"/>
        </w:rPr>
        <w:t>与评价的同类标准。本标准在编制过程中参考了ISO相关标准的结构和表述方式。</w:t>
      </w:r>
    </w:p>
    <w:p w:rsidR="00070DA0" w:rsidRPr="00387BCA" w:rsidRDefault="00070DA0" w:rsidP="00387BCA">
      <w:pPr>
        <w:pStyle w:val="ac"/>
        <w:widowControl w:val="0"/>
        <w:numPr>
          <w:ilvl w:val="0"/>
          <w:numId w:val="6"/>
        </w:numPr>
        <w:tabs>
          <w:tab w:val="clear" w:pos="360"/>
        </w:tabs>
        <w:topLinePunct/>
        <w:spacing w:before="0" w:beforeAutospacing="0" w:after="0" w:afterAutospacing="0"/>
        <w:ind w:firstLineChars="200" w:firstLine="560"/>
        <w:contextualSpacing/>
        <w:mirrorIndents/>
        <w:rPr>
          <w:rFonts w:ascii="黑体" w:eastAsia="黑体" w:hAnsi="黑体"/>
          <w:sz w:val="28"/>
          <w:szCs w:val="28"/>
        </w:rPr>
      </w:pPr>
      <w:r w:rsidRPr="00387BCA">
        <w:rPr>
          <w:rFonts w:ascii="黑体" w:eastAsia="黑体" w:hAnsi="黑体" w:hint="eastAsia"/>
          <w:sz w:val="28"/>
          <w:szCs w:val="28"/>
        </w:rPr>
        <w:t>（三）水平对比</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本标准在以下方面具有创新性：</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a) 岗位针对性：专门针对光伏组件自动产线售后工程师岗位，填补了该领域职业能力标准的空白；</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b) 校企融合性：将校企双元育人的培养模式纳入标准要求，体</w:t>
      </w:r>
      <w:r w:rsidRPr="00387BCA">
        <w:rPr>
          <w:rFonts w:cs="Times New Roman" w:hint="eastAsia"/>
          <w:kern w:val="2"/>
          <w:sz w:val="28"/>
          <w:szCs w:val="28"/>
        </w:rPr>
        <w:lastRenderedPageBreak/>
        <w:t>现了职业教育产教融合的特色；</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c) 评价可操作性：规定了具体的证实方法，使标准的可评价性和可操作性更强。</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五、主要试验（或验证）情况分析</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本标准为管理类和服务类规范标准，主要技术内容为职业能力要求、培养要求和评价要求，不涉及产品技术指标和试验方法。标准内容已在校企联合培养的实践中进行了验证，证明其科学性和可操作性。</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标准在起草过程中，通过以下方式对标准内容进行了验证：</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a) 将标准草案在合作院校和合作企业中进行试用，收集反馈意见；</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b) 对照已实施的校企联合培养项目，验证标准要求的合理性和可实现性；</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c) 组织行业专家和教育专家对标准内容进行逐条评审。</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六、与现行法律、法规及相关标准的关系</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（一）与法律法规的关系</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本标准符合《中华人民共和国标准化法》《中华人民共和国职业教育法》等相关法律法规的要求，</w:t>
      </w:r>
      <w:proofErr w:type="gramStart"/>
      <w:r w:rsidRPr="00387BCA">
        <w:rPr>
          <w:rFonts w:cs="Times New Roman" w:hint="eastAsia"/>
          <w:kern w:val="2"/>
          <w:sz w:val="28"/>
          <w:szCs w:val="28"/>
        </w:rPr>
        <w:t>不</w:t>
      </w:r>
      <w:proofErr w:type="gramEnd"/>
      <w:r w:rsidRPr="00387BCA">
        <w:rPr>
          <w:rFonts w:cs="Times New Roman" w:hint="eastAsia"/>
          <w:kern w:val="2"/>
          <w:sz w:val="28"/>
          <w:szCs w:val="28"/>
        </w:rPr>
        <w:t>与其相抵触。</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（二）与相关标准的关系</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本标准与GB/T 1.1—2020《标准化工作导则 第1部分：标准化文件的结构和起草规则》、GB/T 20000《标准化工作指南》系列标准、GB/T 20001《标准编写规则》系列标准等基础性国家标准保持协调一致。</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lastRenderedPageBreak/>
        <w:t>本标准与现行机电一体化技术专业教学标准、职业技能等级标准等相关标准相互衔接，是对上述标准在光伏组件自动产线售后工程师这一特定岗位方向上的补充和细化。</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（三）与强制性标准的关系</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本标准不涉及强制性国家标准，与现行强制性国家标准无冲突。</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七、重大分歧意见的处理经过和依据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本标准在编制过程中，主要分歧意见及处理情况如下：</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分歧</w:t>
      </w:r>
      <w:proofErr w:type="gramStart"/>
      <w:r w:rsidRPr="00387BCA">
        <w:rPr>
          <w:rFonts w:cs="Times New Roman" w:hint="eastAsia"/>
          <w:kern w:val="2"/>
          <w:sz w:val="28"/>
          <w:szCs w:val="28"/>
        </w:rPr>
        <w:t>一</w:t>
      </w:r>
      <w:proofErr w:type="gramEnd"/>
      <w:r w:rsidRPr="00387BCA">
        <w:rPr>
          <w:rFonts w:cs="Times New Roman" w:hint="eastAsia"/>
          <w:kern w:val="2"/>
          <w:sz w:val="28"/>
          <w:szCs w:val="28"/>
        </w:rPr>
        <w:t>：关于职业能力要求的详细程度</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部分意见认为职业能力要求应更加详细具体，另一部分意见认为应保持一定的概括性以增强适用性。经工作组讨论，决定采用“知识要求—能力要求—素质要求”的三维结构，在保证完整性的前提下保持适度概括，具体实施时可由各使用单位根据实际情况进一步细化。</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分歧二：关于培养模式的表述方式</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部分意见建议明确指定具体的培养模式名称，另一部分意见认为应保持开放性。经协商，采用“宜采用校企双元合作的现代学徒制培养模式”的表述，既提供了方向性指导，又保留了各实施单位的自主选择空间。</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以上分歧意见均已通过充分讨论和协商达成一致，无重大遗留分歧。</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八、标准性质的建议说明</w:t>
      </w:r>
    </w:p>
    <w:p w:rsidR="00070DA0" w:rsidRPr="00387BCA" w:rsidRDefault="00070DA0" w:rsidP="00387BCA">
      <w:pPr>
        <w:topLinePunct/>
        <w:spacing w:after="0" w:line="240" w:lineRule="auto"/>
        <w:ind w:firstLineChars="200" w:firstLine="560"/>
        <w:contextualSpacing/>
        <w:mirrorIndents/>
        <w:rPr>
          <w:rFonts w:ascii="宋体" w:eastAsia="宋体" w:hAnsi="宋体" w:cs="Times New Roman"/>
          <w:sz w:val="28"/>
          <w:szCs w:val="28"/>
        </w:rPr>
      </w:pPr>
      <w:r w:rsidRPr="00387BCA">
        <w:rPr>
          <w:rFonts w:ascii="宋体" w:eastAsia="宋体" w:hAnsi="宋体" w:cs="Times New Roman" w:hint="eastAsia"/>
          <w:sz w:val="28"/>
          <w:szCs w:val="28"/>
        </w:rPr>
        <w:t>建议本标准作为推荐性团体标准发布实施。主要理由如下：</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a) 本标准属于行业人才培养领域的规范标准，不涉及人身健康、</w:t>
      </w:r>
      <w:r w:rsidRPr="00387BCA">
        <w:rPr>
          <w:rFonts w:cs="Times New Roman" w:hint="eastAsia"/>
          <w:kern w:val="2"/>
          <w:sz w:val="28"/>
          <w:szCs w:val="28"/>
        </w:rPr>
        <w:lastRenderedPageBreak/>
        <w:t>财产安全等需要强制执行的领域；</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b) 采用推荐性标准的形式，有利于各职业院校和企业根据自身实际情况灵活采用和调整；</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c) 作为团体标准，推荐性属性更有利于标准的推广应用和持续改进。</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九、贯彻标准的要求和措施建议</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（一）组织措施</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建议由归口单位组织标准宣</w:t>
      </w:r>
      <w:proofErr w:type="gramStart"/>
      <w:r w:rsidRPr="00387BCA">
        <w:rPr>
          <w:rFonts w:cs="Times New Roman" w:hint="eastAsia"/>
          <w:kern w:val="2"/>
          <w:sz w:val="28"/>
          <w:szCs w:val="28"/>
        </w:rPr>
        <w:t>贯培训</w:t>
      </w:r>
      <w:proofErr w:type="gramEnd"/>
      <w:r w:rsidRPr="00387BCA">
        <w:rPr>
          <w:rFonts w:cs="Times New Roman" w:hint="eastAsia"/>
          <w:kern w:val="2"/>
          <w:sz w:val="28"/>
          <w:szCs w:val="28"/>
        </w:rPr>
        <w:t>活动，面向职业院校、光</w:t>
      </w:r>
      <w:proofErr w:type="gramStart"/>
      <w:r w:rsidRPr="00387BCA">
        <w:rPr>
          <w:rFonts w:cs="Times New Roman" w:hint="eastAsia"/>
          <w:kern w:val="2"/>
          <w:sz w:val="28"/>
          <w:szCs w:val="28"/>
        </w:rPr>
        <w:t>伏行业</w:t>
      </w:r>
      <w:proofErr w:type="gramEnd"/>
      <w:r w:rsidRPr="00387BCA">
        <w:rPr>
          <w:rFonts w:cs="Times New Roman" w:hint="eastAsia"/>
          <w:kern w:val="2"/>
          <w:sz w:val="28"/>
          <w:szCs w:val="28"/>
        </w:rPr>
        <w:t>企业及相关社会培训评价机构开展标准解读和推广工作。</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（二）技术措施</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建议各使用单位结合本标准要求，制定具体的实施细则和操作指南。鼓励各职业院校和企业在本标准框架下，结合自身特点开发配套的教学资源和评价工具。</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（三）过渡办法</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建议本标准发布后设置6个月的过渡期，供各相关单位进行准备和调整。</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（四）实施日期建议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建议本标准自发布之日起6个月后正式实施。</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十、废止现行有关标准的建议</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本标准为首次制定，不涉及废止现行有关标准。</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十一、其他应予说明的事项</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（一）专利情况说明</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lastRenderedPageBreak/>
        <w:t>经查，本标准不涉及专利问题。</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（二）标准属性说明</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本标准为团体标准。</w:t>
      </w:r>
    </w:p>
    <w:p w:rsidR="00070DA0" w:rsidRPr="00387BCA" w:rsidRDefault="00070DA0" w:rsidP="00387BCA">
      <w:pPr>
        <w:topLinePunct/>
        <w:spacing w:after="0" w:line="240" w:lineRule="auto"/>
        <w:ind w:firstLineChars="200" w:firstLine="560"/>
        <w:contextualSpacing/>
        <w:mirrorIndents/>
        <w:rPr>
          <w:rFonts w:ascii="黑体" w:eastAsia="黑体" w:hAnsi="黑体" w:cs="Times New Roman"/>
          <w:sz w:val="28"/>
          <w:szCs w:val="28"/>
        </w:rPr>
      </w:pPr>
      <w:r w:rsidRPr="00387BCA">
        <w:rPr>
          <w:rFonts w:ascii="黑体" w:eastAsia="黑体" w:hAnsi="黑体" w:cs="Times New Roman" w:hint="eastAsia"/>
          <w:sz w:val="28"/>
          <w:szCs w:val="28"/>
        </w:rPr>
        <w:t>（三）适用范围说明</w:t>
      </w:r>
    </w:p>
    <w:p w:rsidR="00070DA0" w:rsidRPr="00387BCA" w:rsidRDefault="00070DA0" w:rsidP="00387BCA">
      <w:pPr>
        <w:pStyle w:val="ac"/>
        <w:widowControl w:val="0"/>
        <w:topLinePunct/>
        <w:spacing w:before="0" w:beforeAutospacing="0" w:after="0" w:afterAutospacing="0"/>
        <w:ind w:firstLineChars="200" w:firstLine="560"/>
        <w:contextualSpacing/>
        <w:mirrorIndents/>
        <w:rPr>
          <w:rFonts w:cs="Times New Roman"/>
          <w:kern w:val="2"/>
          <w:sz w:val="28"/>
          <w:szCs w:val="28"/>
        </w:rPr>
      </w:pPr>
      <w:r w:rsidRPr="00387BCA">
        <w:rPr>
          <w:rFonts w:cs="Times New Roman" w:hint="eastAsia"/>
          <w:kern w:val="2"/>
          <w:sz w:val="28"/>
          <w:szCs w:val="28"/>
        </w:rPr>
        <w:t>本标准适用于职业院校机电一体化技术专业光伏组件自动产线售后工程师方向的人才培养，以及企业、社会培训评价组织开展相关职业技能等级评价工作。其他相关专业或岗位可参照使用。</w:t>
      </w:r>
    </w:p>
    <w:p w:rsidR="00070DA0" w:rsidRPr="00387BCA" w:rsidRDefault="00070DA0" w:rsidP="00387BCA">
      <w:pPr>
        <w:topLinePunct/>
        <w:spacing w:after="0" w:line="240" w:lineRule="auto"/>
        <w:ind w:firstLineChars="200" w:firstLine="560"/>
        <w:contextualSpacing/>
        <w:mirrorIndents/>
        <w:rPr>
          <w:rFonts w:ascii="宋体" w:eastAsia="宋体" w:hAnsi="宋体"/>
          <w:sz w:val="28"/>
          <w:szCs w:val="28"/>
        </w:rPr>
      </w:pPr>
    </w:p>
    <w:p w:rsidR="00387BCA" w:rsidRPr="00387BCA" w:rsidRDefault="00070DA0" w:rsidP="00387BCA">
      <w:pPr>
        <w:topLinePunct/>
        <w:spacing w:after="0" w:line="240" w:lineRule="auto"/>
        <w:ind w:firstLineChars="200" w:firstLine="560"/>
        <w:contextualSpacing/>
        <w:mirrorIndents/>
        <w:jc w:val="right"/>
        <w:rPr>
          <w:rFonts w:ascii="宋体" w:eastAsia="宋体" w:hAnsi="宋体" w:hint="eastAsia"/>
          <w:sz w:val="28"/>
          <w:szCs w:val="28"/>
        </w:rPr>
      </w:pPr>
      <w:r w:rsidRPr="00387BCA">
        <w:rPr>
          <w:rFonts w:ascii="宋体" w:eastAsia="宋体" w:hAnsi="宋体" w:hint="eastAsia"/>
          <w:sz w:val="28"/>
          <w:szCs w:val="28"/>
        </w:rPr>
        <w:t>《机电一体化技术专业 光伏组件自动产线售后工程师职业能力与评价规范》</w:t>
      </w:r>
    </w:p>
    <w:p w:rsidR="00070DA0" w:rsidRPr="00387BCA" w:rsidRDefault="00070DA0" w:rsidP="00387BCA">
      <w:pPr>
        <w:topLinePunct/>
        <w:spacing w:after="0" w:line="240" w:lineRule="auto"/>
        <w:ind w:firstLineChars="200" w:firstLine="560"/>
        <w:contextualSpacing/>
        <w:mirrorIndents/>
        <w:jc w:val="right"/>
        <w:rPr>
          <w:rFonts w:ascii="宋体" w:eastAsia="宋体" w:hAnsi="宋体"/>
          <w:sz w:val="28"/>
          <w:szCs w:val="28"/>
        </w:rPr>
      </w:pPr>
      <w:r w:rsidRPr="00387BCA">
        <w:rPr>
          <w:rFonts w:ascii="宋体" w:eastAsia="宋体" w:hAnsi="宋体" w:hint="eastAsia"/>
          <w:sz w:val="28"/>
          <w:szCs w:val="28"/>
        </w:rPr>
        <w:t>标准起草工作组</w:t>
      </w:r>
    </w:p>
    <w:p w:rsidR="00E1493D" w:rsidRPr="00387BCA" w:rsidRDefault="00070DA0" w:rsidP="00387BCA">
      <w:pPr>
        <w:topLinePunct/>
        <w:spacing w:after="0" w:line="240" w:lineRule="auto"/>
        <w:ind w:firstLineChars="200" w:firstLine="560"/>
        <w:contextualSpacing/>
        <w:mirrorIndents/>
        <w:jc w:val="right"/>
        <w:rPr>
          <w:rFonts w:ascii="宋体" w:eastAsia="宋体" w:hAnsi="宋体"/>
          <w:sz w:val="28"/>
          <w:szCs w:val="28"/>
        </w:rPr>
      </w:pPr>
      <w:r w:rsidRPr="00387BCA">
        <w:rPr>
          <w:rFonts w:ascii="宋体" w:eastAsia="宋体" w:hAnsi="宋体" w:hint="eastAsia"/>
          <w:sz w:val="28"/>
          <w:szCs w:val="28"/>
        </w:rPr>
        <w:t>××××年××月××日</w:t>
      </w:r>
    </w:p>
    <w:sectPr w:rsidR="00E1493D" w:rsidRPr="00387BCA" w:rsidSect="009F76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539" w:rsidRPr="008A7570" w:rsidRDefault="00212539" w:rsidP="00387BCA">
      <w:pPr>
        <w:spacing w:after="0" w:line="240" w:lineRule="auto"/>
      </w:pPr>
      <w:r>
        <w:separator/>
      </w:r>
    </w:p>
  </w:endnote>
  <w:endnote w:type="continuationSeparator" w:id="0">
    <w:p w:rsidR="00212539" w:rsidRPr="008A7570" w:rsidRDefault="00212539" w:rsidP="00387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539" w:rsidRPr="008A7570" w:rsidRDefault="00212539" w:rsidP="00387BCA">
      <w:pPr>
        <w:spacing w:after="0" w:line="240" w:lineRule="auto"/>
      </w:pPr>
      <w:r>
        <w:separator/>
      </w:r>
    </w:p>
  </w:footnote>
  <w:footnote w:type="continuationSeparator" w:id="0">
    <w:p w:rsidR="00212539" w:rsidRPr="008A7570" w:rsidRDefault="00212539" w:rsidP="00387B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493D"/>
    <w:rsid w:val="00070DA0"/>
    <w:rsid w:val="00212539"/>
    <w:rsid w:val="002F690B"/>
    <w:rsid w:val="00387BCA"/>
    <w:rsid w:val="009F7631"/>
    <w:rsid w:val="00E149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4"/>
        <w:lang w:val="en-US" w:eastAsia="zh-CN"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631"/>
    <w:pPr>
      <w:widowControl w:val="0"/>
    </w:pPr>
  </w:style>
  <w:style w:type="paragraph" w:styleId="1">
    <w:name w:val="heading 1"/>
    <w:basedOn w:val="a"/>
    <w:next w:val="a"/>
    <w:link w:val="1Char"/>
    <w:uiPriority w:val="9"/>
    <w:qFormat/>
    <w:rsid w:val="00E1493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rsid w:val="00E1493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rsid w:val="00E1493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rsid w:val="00E1493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E1493D"/>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E1493D"/>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E1493D"/>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E1493D"/>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E1493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1493D"/>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rsid w:val="00E1493D"/>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rsid w:val="00E1493D"/>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rsid w:val="00E1493D"/>
    <w:rPr>
      <w:rFonts w:cstheme="majorBidi"/>
      <w:color w:val="2F5496" w:themeColor="accent1" w:themeShade="BF"/>
      <w:sz w:val="28"/>
      <w:szCs w:val="28"/>
    </w:rPr>
  </w:style>
  <w:style w:type="character" w:customStyle="1" w:styleId="5Char">
    <w:name w:val="标题 5 Char"/>
    <w:basedOn w:val="a0"/>
    <w:link w:val="5"/>
    <w:uiPriority w:val="9"/>
    <w:semiHidden/>
    <w:rsid w:val="00E1493D"/>
    <w:rPr>
      <w:rFonts w:cstheme="majorBidi"/>
      <w:color w:val="2F5496" w:themeColor="accent1" w:themeShade="BF"/>
      <w:sz w:val="24"/>
    </w:rPr>
  </w:style>
  <w:style w:type="character" w:customStyle="1" w:styleId="6Char">
    <w:name w:val="标题 6 Char"/>
    <w:basedOn w:val="a0"/>
    <w:link w:val="6"/>
    <w:uiPriority w:val="9"/>
    <w:semiHidden/>
    <w:rsid w:val="00E1493D"/>
    <w:rPr>
      <w:rFonts w:cstheme="majorBidi"/>
      <w:b/>
      <w:bCs/>
      <w:color w:val="2F5496" w:themeColor="accent1" w:themeShade="BF"/>
    </w:rPr>
  </w:style>
  <w:style w:type="character" w:customStyle="1" w:styleId="7Char">
    <w:name w:val="标题 7 Char"/>
    <w:basedOn w:val="a0"/>
    <w:link w:val="7"/>
    <w:uiPriority w:val="9"/>
    <w:semiHidden/>
    <w:rsid w:val="00E1493D"/>
    <w:rPr>
      <w:rFonts w:cstheme="majorBidi"/>
      <w:b/>
      <w:bCs/>
      <w:color w:val="595959" w:themeColor="text1" w:themeTint="A6"/>
    </w:rPr>
  </w:style>
  <w:style w:type="character" w:customStyle="1" w:styleId="8Char">
    <w:name w:val="标题 8 Char"/>
    <w:basedOn w:val="a0"/>
    <w:link w:val="8"/>
    <w:uiPriority w:val="9"/>
    <w:semiHidden/>
    <w:rsid w:val="00E1493D"/>
    <w:rPr>
      <w:rFonts w:cstheme="majorBidi"/>
      <w:color w:val="595959" w:themeColor="text1" w:themeTint="A6"/>
    </w:rPr>
  </w:style>
  <w:style w:type="character" w:customStyle="1" w:styleId="9Char">
    <w:name w:val="标题 9 Char"/>
    <w:basedOn w:val="a0"/>
    <w:link w:val="9"/>
    <w:uiPriority w:val="9"/>
    <w:semiHidden/>
    <w:rsid w:val="00E1493D"/>
    <w:rPr>
      <w:rFonts w:eastAsiaTheme="majorEastAsia" w:cstheme="majorBidi"/>
      <w:color w:val="595959" w:themeColor="text1" w:themeTint="A6"/>
    </w:rPr>
  </w:style>
  <w:style w:type="paragraph" w:styleId="a3">
    <w:name w:val="Title"/>
    <w:basedOn w:val="a"/>
    <w:next w:val="a"/>
    <w:link w:val="Char"/>
    <w:uiPriority w:val="10"/>
    <w:qFormat/>
    <w:rsid w:val="00E1493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E1493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1493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E1493D"/>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E1493D"/>
    <w:pPr>
      <w:spacing w:before="160"/>
      <w:jc w:val="center"/>
    </w:pPr>
    <w:rPr>
      <w:i/>
      <w:iCs/>
      <w:color w:val="404040" w:themeColor="text1" w:themeTint="BF"/>
    </w:rPr>
  </w:style>
  <w:style w:type="character" w:customStyle="1" w:styleId="Char1">
    <w:name w:val="引用 Char"/>
    <w:basedOn w:val="a0"/>
    <w:link w:val="a5"/>
    <w:uiPriority w:val="29"/>
    <w:rsid w:val="00E1493D"/>
    <w:rPr>
      <w:i/>
      <w:iCs/>
      <w:color w:val="404040" w:themeColor="text1" w:themeTint="BF"/>
    </w:rPr>
  </w:style>
  <w:style w:type="paragraph" w:styleId="a6">
    <w:name w:val="List Paragraph"/>
    <w:basedOn w:val="a"/>
    <w:uiPriority w:val="34"/>
    <w:qFormat/>
    <w:rsid w:val="00E1493D"/>
    <w:pPr>
      <w:ind w:left="720"/>
      <w:contextualSpacing/>
    </w:pPr>
  </w:style>
  <w:style w:type="character" w:styleId="a7">
    <w:name w:val="Intense Emphasis"/>
    <w:basedOn w:val="a0"/>
    <w:uiPriority w:val="21"/>
    <w:qFormat/>
    <w:rsid w:val="00E1493D"/>
    <w:rPr>
      <w:i/>
      <w:iCs/>
      <w:color w:val="2F5496" w:themeColor="accent1" w:themeShade="BF"/>
    </w:rPr>
  </w:style>
  <w:style w:type="paragraph" w:styleId="a8">
    <w:name w:val="Intense Quote"/>
    <w:basedOn w:val="a"/>
    <w:next w:val="a"/>
    <w:link w:val="Char2"/>
    <w:uiPriority w:val="30"/>
    <w:qFormat/>
    <w:rsid w:val="00E149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E1493D"/>
    <w:rPr>
      <w:i/>
      <w:iCs/>
      <w:color w:val="2F5496" w:themeColor="accent1" w:themeShade="BF"/>
    </w:rPr>
  </w:style>
  <w:style w:type="character" w:styleId="a9">
    <w:name w:val="Intense Reference"/>
    <w:basedOn w:val="a0"/>
    <w:uiPriority w:val="32"/>
    <w:qFormat/>
    <w:rsid w:val="00E1493D"/>
    <w:rPr>
      <w:b/>
      <w:bCs/>
      <w:smallCaps/>
      <w:color w:val="2F5496" w:themeColor="accent1" w:themeShade="BF"/>
      <w:spacing w:val="5"/>
    </w:rPr>
  </w:style>
  <w:style w:type="paragraph" w:styleId="aa">
    <w:name w:val="header"/>
    <w:basedOn w:val="a"/>
    <w:link w:val="Char3"/>
    <w:uiPriority w:val="99"/>
    <w:semiHidden/>
    <w:unhideWhenUsed/>
    <w:rsid w:val="00387BC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a"/>
    <w:uiPriority w:val="99"/>
    <w:semiHidden/>
    <w:rsid w:val="00387BCA"/>
    <w:rPr>
      <w:sz w:val="18"/>
      <w:szCs w:val="18"/>
    </w:rPr>
  </w:style>
  <w:style w:type="paragraph" w:styleId="ab">
    <w:name w:val="footer"/>
    <w:basedOn w:val="a"/>
    <w:link w:val="Char4"/>
    <w:uiPriority w:val="99"/>
    <w:semiHidden/>
    <w:unhideWhenUsed/>
    <w:rsid w:val="00387BCA"/>
    <w:pPr>
      <w:tabs>
        <w:tab w:val="center" w:pos="4153"/>
        <w:tab w:val="right" w:pos="8306"/>
      </w:tabs>
      <w:snapToGrid w:val="0"/>
      <w:spacing w:line="240" w:lineRule="auto"/>
    </w:pPr>
    <w:rPr>
      <w:sz w:val="18"/>
      <w:szCs w:val="18"/>
    </w:rPr>
  </w:style>
  <w:style w:type="character" w:customStyle="1" w:styleId="Char4">
    <w:name w:val="页脚 Char"/>
    <w:basedOn w:val="a0"/>
    <w:link w:val="ab"/>
    <w:uiPriority w:val="99"/>
    <w:semiHidden/>
    <w:rsid w:val="00387BCA"/>
    <w:rPr>
      <w:sz w:val="18"/>
      <w:szCs w:val="18"/>
    </w:rPr>
  </w:style>
  <w:style w:type="paragraph" w:styleId="ac">
    <w:name w:val="Normal (Web)"/>
    <w:basedOn w:val="a"/>
    <w:uiPriority w:val="99"/>
    <w:semiHidden/>
    <w:unhideWhenUsed/>
    <w:rsid w:val="00387BCA"/>
    <w:pPr>
      <w:widowControl/>
      <w:spacing w:before="100" w:beforeAutospacing="1" w:after="100" w:afterAutospacing="1" w:line="240" w:lineRule="auto"/>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1968</Words>
  <Characters>2461</Characters>
  <Application>Microsoft Office Word</Application>
  <DocSecurity>0</DocSecurity>
  <Lines>410</Lines>
  <Paragraphs>369</Paragraphs>
  <ScaleCrop>false</ScaleCrop>
  <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凯强 林</dc:creator>
  <cp:keywords/>
  <dc:description/>
  <cp:lastModifiedBy>12345</cp:lastModifiedBy>
  <cp:revision>3</cp:revision>
  <dcterms:created xsi:type="dcterms:W3CDTF">2026-07-05T12:53:00Z</dcterms:created>
  <dcterms:modified xsi:type="dcterms:W3CDTF">2026-07-07T08:37:00Z</dcterms:modified>
</cp:coreProperties>
</file>